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3E34B">
      <w:pPr>
        <w:jc w:val="both"/>
        <w:rPr>
          <w:rFonts w:hint="eastAsia" w:ascii="宋体" w:hAnsi="宋体" w:eastAsia="宋体" w:cs="宋体"/>
          <w:sz w:val="28"/>
          <w:szCs w:val="28"/>
        </w:rPr>
      </w:pPr>
      <w:r>
        <w:rPr>
          <w:rFonts w:hint="eastAsia" w:ascii="宋体" w:hAnsi="宋体" w:eastAsia="宋体" w:cs="宋体"/>
          <w:sz w:val="28"/>
          <w:szCs w:val="28"/>
        </w:rPr>
        <w:drawing>
          <wp:inline distT="0" distB="0" distL="114300" distR="114300">
            <wp:extent cx="2472690" cy="808355"/>
            <wp:effectExtent l="0" t="0" r="381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472690" cy="808355"/>
                    </a:xfrm>
                    <a:prstGeom prst="rect">
                      <a:avLst/>
                    </a:prstGeom>
                    <a:noFill/>
                    <a:ln>
                      <a:noFill/>
                    </a:ln>
                  </pic:spPr>
                </pic:pic>
              </a:graphicData>
            </a:graphic>
          </wp:inline>
        </w:drawing>
      </w:r>
    </w:p>
    <w:p w14:paraId="46BF3F14">
      <w:pPr>
        <w:ind w:firstLine="1446" w:firstLineChars="200"/>
        <w:jc w:val="both"/>
        <w:rPr>
          <w:rFonts w:hint="eastAsia" w:ascii="宋体" w:hAnsi="宋体" w:eastAsia="宋体" w:cs="宋体"/>
          <w:b/>
          <w:kern w:val="0"/>
          <w:sz w:val="72"/>
          <w:szCs w:val="72"/>
          <w:lang w:val="en-US" w:eastAsia="zh-CN"/>
        </w:rPr>
      </w:pPr>
    </w:p>
    <w:p w14:paraId="32ABAEC6">
      <w:pPr>
        <w:jc w:val="center"/>
        <w:rPr>
          <w:rFonts w:hint="eastAsia" w:ascii="宋体" w:hAnsi="宋体" w:eastAsia="宋体" w:cs="宋体"/>
          <w:b/>
          <w:bCs w:val="0"/>
          <w:kern w:val="0"/>
          <w:sz w:val="72"/>
          <w:szCs w:val="72"/>
          <w:lang w:val="en-US" w:eastAsia="zh-CN"/>
        </w:rPr>
      </w:pPr>
      <w:r>
        <w:rPr>
          <w:rFonts w:hint="eastAsia" w:cs="宋体"/>
          <w:b/>
          <w:bCs w:val="0"/>
          <w:kern w:val="0"/>
          <w:sz w:val="72"/>
          <w:szCs w:val="72"/>
          <w:lang w:val="en-US" w:eastAsia="zh-CN"/>
        </w:rPr>
        <w:t>卫生</w:t>
      </w:r>
      <w:r>
        <w:rPr>
          <w:rFonts w:hint="eastAsia" w:ascii="宋体" w:hAnsi="宋体" w:eastAsia="宋体" w:cs="宋体"/>
          <w:b/>
          <w:bCs w:val="0"/>
          <w:kern w:val="0"/>
          <w:sz w:val="72"/>
          <w:szCs w:val="72"/>
          <w:lang w:val="en-US" w:eastAsia="zh-CN"/>
        </w:rPr>
        <w:t>健康学院</w:t>
      </w:r>
    </w:p>
    <w:p w14:paraId="247788B2">
      <w:pPr>
        <w:jc w:val="center"/>
        <w:rPr>
          <w:rFonts w:hint="eastAsia" w:ascii="宋体" w:hAnsi="宋体" w:eastAsia="宋体" w:cs="宋体"/>
          <w:b/>
          <w:kern w:val="0"/>
          <w:sz w:val="72"/>
          <w:szCs w:val="72"/>
          <w:lang w:val="en-US" w:eastAsia="zh-CN"/>
        </w:rPr>
      </w:pPr>
      <w:r>
        <w:rPr>
          <w:rFonts w:hint="eastAsia" w:cs="宋体"/>
          <w:b/>
          <w:bCs w:val="0"/>
          <w:kern w:val="0"/>
          <w:sz w:val="72"/>
          <w:szCs w:val="72"/>
          <w:lang w:val="en-US" w:eastAsia="zh-CN"/>
        </w:rPr>
        <w:t>口腔医学技术</w:t>
      </w:r>
      <w:r>
        <w:rPr>
          <w:rFonts w:hint="eastAsia" w:ascii="宋体" w:hAnsi="宋体" w:eastAsia="宋体" w:cs="宋体"/>
          <w:b/>
          <w:bCs w:val="0"/>
          <w:kern w:val="0"/>
          <w:sz w:val="72"/>
          <w:szCs w:val="72"/>
          <w:lang w:val="en-US" w:eastAsia="zh-CN"/>
        </w:rPr>
        <w:t>专业</w:t>
      </w:r>
    </w:p>
    <w:p w14:paraId="7AAEBD4C">
      <w:pPr>
        <w:spacing w:line="360" w:lineRule="auto"/>
        <w:jc w:val="both"/>
        <w:rPr>
          <w:rFonts w:hint="eastAsia" w:ascii="宋体" w:hAnsi="宋体" w:eastAsia="宋体" w:cs="宋体"/>
          <w:b/>
          <w:kern w:val="0"/>
          <w:sz w:val="72"/>
          <w:szCs w:val="72"/>
          <w:lang w:val="en-US" w:eastAsia="zh-CN"/>
        </w:rPr>
      </w:pPr>
    </w:p>
    <w:p w14:paraId="34E99A41">
      <w:pPr>
        <w:spacing w:line="360" w:lineRule="auto"/>
        <w:ind w:leftChars="200" w:firstLine="3614" w:firstLineChars="500"/>
        <w:jc w:val="both"/>
        <w:rPr>
          <w:rFonts w:hint="eastAsia" w:ascii="宋体" w:hAnsi="宋体" w:eastAsia="宋体" w:cs="宋体"/>
          <w:b/>
          <w:kern w:val="0"/>
          <w:sz w:val="72"/>
          <w:szCs w:val="72"/>
          <w:lang w:val="en-US" w:eastAsia="zh-CN"/>
        </w:rPr>
      </w:pPr>
      <w:r>
        <w:rPr>
          <w:rFonts w:hint="eastAsia" w:ascii="宋体" w:hAnsi="宋体" w:eastAsia="宋体" w:cs="宋体"/>
          <w:b/>
          <w:kern w:val="0"/>
          <w:sz w:val="72"/>
          <w:szCs w:val="72"/>
          <w:lang w:val="en-US" w:eastAsia="zh-CN"/>
        </w:rPr>
        <w:t>实</w:t>
      </w:r>
    </w:p>
    <w:p w14:paraId="07B5BA42">
      <w:pPr>
        <w:spacing w:line="360" w:lineRule="auto"/>
        <w:ind w:leftChars="200" w:firstLine="3614" w:firstLineChars="500"/>
        <w:jc w:val="both"/>
        <w:rPr>
          <w:rFonts w:hint="eastAsia" w:ascii="宋体" w:hAnsi="宋体" w:eastAsia="宋体" w:cs="宋体"/>
          <w:b/>
          <w:kern w:val="0"/>
          <w:sz w:val="72"/>
          <w:szCs w:val="72"/>
          <w:lang w:val="en-US" w:eastAsia="zh-CN"/>
        </w:rPr>
      </w:pPr>
      <w:r>
        <w:rPr>
          <w:rFonts w:hint="eastAsia" w:ascii="宋体" w:hAnsi="宋体" w:eastAsia="宋体" w:cs="宋体"/>
          <w:b/>
          <w:kern w:val="0"/>
          <w:sz w:val="72"/>
          <w:szCs w:val="72"/>
          <w:lang w:val="en-US" w:eastAsia="zh-CN"/>
        </w:rPr>
        <w:t>习</w:t>
      </w:r>
    </w:p>
    <w:p w14:paraId="1A8D93C3">
      <w:pPr>
        <w:spacing w:line="360" w:lineRule="auto"/>
        <w:ind w:leftChars="200" w:firstLine="3614" w:firstLineChars="500"/>
        <w:jc w:val="both"/>
        <w:rPr>
          <w:rFonts w:hint="default" w:ascii="宋体" w:hAnsi="宋体" w:eastAsia="宋体" w:cs="宋体"/>
          <w:b/>
          <w:kern w:val="0"/>
          <w:sz w:val="72"/>
          <w:szCs w:val="72"/>
          <w:lang w:val="en-US" w:eastAsia="zh-CN"/>
        </w:rPr>
      </w:pPr>
      <w:r>
        <w:rPr>
          <w:rFonts w:hint="eastAsia" w:cs="宋体"/>
          <w:b/>
          <w:kern w:val="0"/>
          <w:sz w:val="72"/>
          <w:szCs w:val="72"/>
          <w:lang w:val="en-US" w:eastAsia="zh-CN"/>
        </w:rPr>
        <w:t>工</w:t>
      </w:r>
    </w:p>
    <w:p w14:paraId="1E8FC37F">
      <w:pPr>
        <w:spacing w:line="360" w:lineRule="auto"/>
        <w:ind w:leftChars="200" w:firstLine="3614" w:firstLineChars="500"/>
        <w:jc w:val="both"/>
        <w:rPr>
          <w:rFonts w:hint="eastAsia" w:cs="宋体"/>
          <w:b/>
          <w:kern w:val="0"/>
          <w:sz w:val="72"/>
          <w:szCs w:val="72"/>
          <w:lang w:val="en-US" w:eastAsia="zh-CN"/>
        </w:rPr>
      </w:pPr>
      <w:r>
        <w:rPr>
          <w:rFonts w:hint="eastAsia" w:cs="宋体"/>
          <w:b/>
          <w:kern w:val="0"/>
          <w:sz w:val="72"/>
          <w:szCs w:val="72"/>
          <w:lang w:val="en-US" w:eastAsia="zh-CN"/>
        </w:rPr>
        <w:t>作</w:t>
      </w:r>
    </w:p>
    <w:p w14:paraId="4DEA210F">
      <w:pPr>
        <w:spacing w:line="360" w:lineRule="auto"/>
        <w:ind w:leftChars="200" w:firstLine="3614" w:firstLineChars="500"/>
        <w:jc w:val="both"/>
        <w:rPr>
          <w:rFonts w:hint="eastAsia" w:cs="宋体"/>
          <w:b/>
          <w:kern w:val="0"/>
          <w:sz w:val="72"/>
          <w:szCs w:val="72"/>
          <w:lang w:val="en-US" w:eastAsia="zh-CN"/>
        </w:rPr>
      </w:pPr>
      <w:r>
        <w:rPr>
          <w:rFonts w:hint="eastAsia" w:cs="宋体"/>
          <w:b/>
          <w:kern w:val="0"/>
          <w:sz w:val="72"/>
          <w:szCs w:val="72"/>
          <w:lang w:val="en-US" w:eastAsia="zh-CN"/>
        </w:rPr>
        <w:t>方</w:t>
      </w:r>
    </w:p>
    <w:p w14:paraId="7E52A2D3">
      <w:pPr>
        <w:spacing w:line="360" w:lineRule="auto"/>
        <w:ind w:leftChars="200" w:firstLine="3614" w:firstLineChars="500"/>
        <w:jc w:val="both"/>
        <w:rPr>
          <w:rFonts w:hint="default" w:cs="宋体"/>
          <w:b/>
          <w:kern w:val="0"/>
          <w:sz w:val="72"/>
          <w:szCs w:val="72"/>
          <w:lang w:val="en-US" w:eastAsia="zh-CN"/>
        </w:rPr>
      </w:pPr>
      <w:r>
        <w:rPr>
          <w:rFonts w:hint="eastAsia" w:cs="宋体"/>
          <w:b/>
          <w:kern w:val="0"/>
          <w:sz w:val="72"/>
          <w:szCs w:val="72"/>
          <w:lang w:val="en-US" w:eastAsia="zh-CN"/>
        </w:rPr>
        <w:t>案</w:t>
      </w:r>
    </w:p>
    <w:p w14:paraId="361D031D">
      <w:pPr>
        <w:jc w:val="both"/>
        <w:rPr>
          <w:rFonts w:hint="eastAsia" w:ascii="宋体" w:hAnsi="宋体" w:eastAsia="宋体" w:cs="宋体"/>
          <w:sz w:val="28"/>
          <w:szCs w:val="28"/>
        </w:rPr>
      </w:pPr>
    </w:p>
    <w:p w14:paraId="4C485C84">
      <w:pPr>
        <w:jc w:val="both"/>
        <w:rPr>
          <w:rFonts w:hint="eastAsia" w:ascii="方正小标宋简体" w:hAnsi="宋体" w:eastAsia="方正小标宋简体" w:cs="宋体"/>
          <w:b/>
          <w:bCs/>
          <w:sz w:val="36"/>
          <w:szCs w:val="36"/>
          <w:lang w:val="en-US" w:eastAsia="zh-CN"/>
        </w:rPr>
        <w:sectPr>
          <w:footerReference r:id="rId5" w:type="default"/>
          <w:pgSz w:w="11911" w:h="16838"/>
          <w:pgMar w:top="1417" w:right="1134" w:bottom="1134" w:left="1701" w:header="0" w:footer="975" w:gutter="0"/>
          <w:cols w:space="0" w:num="1"/>
          <w:rtlGutter w:val="0"/>
          <w:docGrid w:linePitch="0" w:charSpace="0"/>
        </w:sectPr>
      </w:pPr>
    </w:p>
    <w:p w14:paraId="5D826CAD">
      <w:pPr>
        <w:jc w:val="both"/>
        <w:rPr>
          <w:rFonts w:hint="eastAsia" w:ascii="方正小标宋简体" w:hAnsi="宋体" w:eastAsia="方正小标宋简体" w:cs="宋体"/>
          <w:b/>
          <w:bCs/>
          <w:sz w:val="36"/>
          <w:szCs w:val="36"/>
          <w:lang w:val="en-US" w:eastAsia="zh-CN"/>
        </w:rPr>
      </w:pPr>
      <w:r>
        <w:rPr>
          <w:rFonts w:hint="eastAsia" w:ascii="方正小标宋简体" w:hAnsi="宋体" w:eastAsia="方正小标宋简体" w:cs="宋体"/>
          <w:b/>
          <w:bCs/>
          <w:sz w:val="36"/>
          <w:szCs w:val="36"/>
          <w:lang w:val="en-US" w:eastAsia="zh-CN"/>
        </w:rPr>
        <w:br w:type="page"/>
      </w:r>
    </w:p>
    <w:p w14:paraId="6CD5B192">
      <w:pPr>
        <w:jc w:val="center"/>
        <w:rPr>
          <w:rFonts w:hint="eastAsia" w:ascii="方正小标宋简体" w:hAnsi="宋体" w:eastAsia="方正小标宋简体" w:cs="宋体"/>
          <w:b/>
          <w:bCs/>
          <w:sz w:val="36"/>
          <w:szCs w:val="36"/>
          <w:lang w:val="en-US" w:eastAsia="zh-CN"/>
        </w:rPr>
      </w:pPr>
      <w:r>
        <w:rPr>
          <w:rFonts w:hint="eastAsia" w:ascii="方正小标宋简体" w:hAnsi="宋体" w:eastAsia="方正小标宋简体" w:cs="宋体"/>
          <w:b/>
          <w:bCs/>
          <w:sz w:val="36"/>
          <w:szCs w:val="36"/>
          <w:lang w:val="en-US" w:eastAsia="zh-CN"/>
        </w:rPr>
        <w:t>卫生健康学院口腔医学技术专业实习工作方案</w:t>
      </w:r>
    </w:p>
    <w:p w14:paraId="0AEFFE3E">
      <w:pPr>
        <w:keepNext/>
        <w:keepLines/>
        <w:spacing w:line="360" w:lineRule="auto"/>
        <w:ind w:firstLine="562" w:firstLineChars="200"/>
        <w:jc w:val="both"/>
        <w:rPr>
          <w:rFonts w:hint="eastAsia" w:ascii="仿宋_GB2312" w:hAnsi="仿宋_GB2312" w:eastAsia="仿宋_GB2312" w:cs="仿宋_GB2312"/>
          <w:b/>
          <w:sz w:val="28"/>
          <w:szCs w:val="36"/>
          <w:lang w:val="en-US" w:eastAsia="zh-CN"/>
        </w:rPr>
      </w:pPr>
    </w:p>
    <w:p w14:paraId="7B0BB110">
      <w:pPr>
        <w:keepNext/>
        <w:keepLines/>
        <w:spacing w:line="360" w:lineRule="auto"/>
        <w:ind w:firstLine="562" w:firstLineChars="200"/>
        <w:jc w:val="both"/>
        <w:rPr>
          <w:rFonts w:hint="default" w:ascii="仿宋_GB2312" w:hAnsi="仿宋_GB2312" w:eastAsia="仿宋_GB2312" w:cs="仿宋_GB2312"/>
          <w:b/>
          <w:sz w:val="28"/>
          <w:szCs w:val="36"/>
          <w:lang w:val="en-US" w:eastAsia="zh-CN"/>
        </w:rPr>
      </w:pPr>
      <w:r>
        <w:rPr>
          <w:rFonts w:hint="eastAsia" w:ascii="仿宋_GB2312" w:hAnsi="仿宋_GB2312" w:eastAsia="仿宋_GB2312" w:cs="仿宋_GB2312"/>
          <w:b/>
          <w:sz w:val="28"/>
          <w:szCs w:val="36"/>
          <w:lang w:val="en-US" w:eastAsia="zh-CN"/>
        </w:rPr>
        <w:t>一、</w:t>
      </w:r>
      <w:r>
        <w:rPr>
          <w:rFonts w:hint="eastAsia" w:ascii="仿宋_GB2312" w:hAnsi="仿宋_GB2312" w:eastAsia="仿宋_GB2312" w:cs="仿宋_GB2312"/>
          <w:b/>
          <w:sz w:val="28"/>
          <w:szCs w:val="36"/>
        </w:rPr>
        <w:t>实习目标</w:t>
      </w:r>
      <w:r>
        <w:rPr>
          <w:rFonts w:hint="eastAsia" w:ascii="仿宋_GB2312" w:hAnsi="仿宋_GB2312" w:eastAsia="仿宋_GB2312" w:cs="仿宋_GB2312"/>
          <w:b/>
          <w:sz w:val="28"/>
          <w:szCs w:val="36"/>
          <w:lang w:val="en-US" w:eastAsia="zh-CN"/>
        </w:rPr>
        <w:t>与任务</w:t>
      </w:r>
    </w:p>
    <w:p w14:paraId="360081F6">
      <w:pPr>
        <w:keepNext/>
        <w:keepLines/>
        <w:spacing w:line="360" w:lineRule="auto"/>
        <w:ind w:firstLine="480" w:firstLineChars="200"/>
        <w:jc w:val="both"/>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val="en-US" w:eastAsia="zh-CN"/>
        </w:rPr>
        <w:t>学生通过口腔医学技术专业岗位实习，了解义齿加工企业和各级各类医疗机构的运作、组织架构、规章制度和企业文化；掌握岗位的典型工作流程、工作内容及核心技能；养成爱岗敬业、精益求精、诚实守信的职业精神，增强学生的就业能力。</w:t>
      </w:r>
    </w:p>
    <w:p w14:paraId="3A1813A6">
      <w:pPr>
        <w:keepNext/>
        <w:keepLines/>
        <w:spacing w:line="360" w:lineRule="auto"/>
        <w:ind w:firstLine="562" w:firstLineChars="200"/>
        <w:jc w:val="both"/>
        <w:rPr>
          <w:rFonts w:hint="eastAsia" w:ascii="仿宋_GB2312" w:hAnsi="仿宋_GB2312" w:eastAsia="仿宋_GB2312" w:cs="仿宋_GB2312"/>
          <w:b/>
          <w:sz w:val="28"/>
          <w:szCs w:val="36"/>
          <w:lang w:val="en-US" w:eastAsia="zh-CN"/>
        </w:rPr>
      </w:pPr>
      <w:r>
        <w:rPr>
          <w:rFonts w:hint="eastAsia" w:ascii="仿宋_GB2312" w:hAnsi="仿宋_GB2312" w:eastAsia="仿宋_GB2312" w:cs="仿宋_GB2312"/>
          <w:b/>
          <w:sz w:val="28"/>
          <w:szCs w:val="36"/>
          <w:lang w:val="en-US" w:eastAsia="zh-CN"/>
        </w:rPr>
        <w:t>二、实习安排</w:t>
      </w:r>
    </w:p>
    <w:p w14:paraId="1586D945">
      <w:pPr>
        <w:keepNext/>
        <w:keepLines/>
        <w:spacing w:line="360" w:lineRule="auto"/>
        <w:ind w:firstLine="482" w:firstLineChars="200"/>
        <w:jc w:val="both"/>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实习时间：</w:t>
      </w:r>
      <w:r>
        <w:rPr>
          <w:rFonts w:hint="eastAsia" w:ascii="仿宋_GB2312" w:hAnsi="仿宋_GB2312" w:eastAsia="仿宋_GB2312" w:cs="仿宋_GB2312"/>
          <w:color w:val="000000"/>
          <w:sz w:val="24"/>
        </w:rPr>
        <w:t>2026年8月-2027年</w:t>
      </w:r>
      <w:r>
        <w:rPr>
          <w:rFonts w:hint="eastAsia" w:ascii="仿宋_GB2312" w:hAnsi="仿宋_GB2312" w:eastAsia="仿宋_GB2312" w:cs="仿宋_GB2312"/>
          <w:color w:val="000000"/>
          <w:sz w:val="24"/>
          <w:lang w:val="en-US" w:eastAsia="zh-CN"/>
        </w:rPr>
        <w:t>4月</w:t>
      </w:r>
      <w:r>
        <w:rPr>
          <w:rFonts w:hint="eastAsia" w:ascii="仿宋_GB2312" w:hAnsi="仿宋_GB2312" w:eastAsia="仿宋_GB2312" w:cs="仿宋_GB2312"/>
          <w:color w:val="000000"/>
          <w:sz w:val="24"/>
        </w:rPr>
        <w:t>（9个月）</w:t>
      </w:r>
      <w:bookmarkStart w:id="0" w:name="_GoBack"/>
      <w:bookmarkEnd w:id="0"/>
    </w:p>
    <w:p w14:paraId="2D74BDB2">
      <w:pPr>
        <w:keepNext/>
        <w:keepLines/>
        <w:spacing w:line="360" w:lineRule="auto"/>
        <w:ind w:firstLine="482" w:firstLineChars="200"/>
        <w:jc w:val="both"/>
        <w:rPr>
          <w:rFonts w:hint="eastAsia" w:ascii="仿宋_GB2312" w:hAnsi="仿宋_GB2312" w:eastAsia="仿宋_GB2312" w:cs="仿宋_GB2312"/>
          <w:color w:val="000000"/>
          <w:sz w:val="24"/>
          <w:highlight w:val="none"/>
        </w:rPr>
      </w:pPr>
      <w:r>
        <w:rPr>
          <w:rFonts w:hint="eastAsia" w:ascii="仿宋_GB2312" w:hAnsi="仿宋_GB2312" w:eastAsia="仿宋_GB2312" w:cs="仿宋_GB2312"/>
          <w:b/>
          <w:bCs/>
          <w:color w:val="000000"/>
          <w:sz w:val="24"/>
          <w:highlight w:val="none"/>
          <w:lang w:val="en-US" w:eastAsia="zh-CN"/>
        </w:rPr>
        <w:t>（二）</w:t>
      </w:r>
      <w:r>
        <w:rPr>
          <w:rFonts w:hint="eastAsia" w:ascii="仿宋_GB2312" w:hAnsi="仿宋_GB2312" w:eastAsia="仿宋_GB2312" w:cs="仿宋_GB2312"/>
          <w:b/>
          <w:bCs/>
          <w:color w:val="000000"/>
          <w:sz w:val="24"/>
          <w:highlight w:val="none"/>
        </w:rPr>
        <w:t>实习总周数：</w:t>
      </w:r>
      <w:r>
        <w:rPr>
          <w:rFonts w:hint="eastAsia" w:ascii="仿宋_GB2312" w:hAnsi="仿宋_GB2312" w:eastAsia="仿宋_GB2312" w:cs="仿宋_GB2312"/>
          <w:color w:val="000000"/>
          <w:sz w:val="24"/>
          <w:highlight w:val="none"/>
        </w:rPr>
        <w:t>约</w:t>
      </w:r>
      <w:r>
        <w:rPr>
          <w:rFonts w:hint="eastAsia" w:ascii="仿宋_GB2312" w:hAnsi="仿宋_GB2312" w:eastAsia="仿宋_GB2312" w:cs="仿宋_GB2312"/>
          <w:color w:val="000000"/>
          <w:sz w:val="24"/>
          <w:highlight w:val="none"/>
          <w:lang w:val="en-US" w:eastAsia="zh-CN"/>
        </w:rPr>
        <w:t>36周</w:t>
      </w:r>
    </w:p>
    <w:p w14:paraId="4EF6803F">
      <w:pPr>
        <w:keepNext/>
        <w:keepLines/>
        <w:spacing w:line="360" w:lineRule="auto"/>
        <w:ind w:firstLine="482" w:firstLineChars="200"/>
        <w:jc w:val="both"/>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三</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实习单位：</w:t>
      </w:r>
      <w:r>
        <w:rPr>
          <w:rFonts w:hint="eastAsia" w:ascii="仿宋_GB2312" w:hAnsi="仿宋_GB2312" w:eastAsia="仿宋_GB2312" w:cs="仿宋_GB2312"/>
          <w:b w:val="0"/>
          <w:bCs w:val="0"/>
          <w:color w:val="000000"/>
          <w:sz w:val="24"/>
          <w:lang w:val="en-US" w:eastAsia="zh-CN"/>
        </w:rPr>
        <w:t>义齿加工企业、各级各类医疗机构口腔技工室或义齿加工中心</w:t>
      </w:r>
      <w:r>
        <w:rPr>
          <w:rFonts w:hint="eastAsia" w:ascii="仿宋_GB2312" w:hAnsi="仿宋_GB2312" w:eastAsia="仿宋_GB2312" w:cs="仿宋_GB2312"/>
          <w:color w:val="000000"/>
          <w:sz w:val="24"/>
        </w:rPr>
        <w:t>。</w:t>
      </w:r>
    </w:p>
    <w:p w14:paraId="03A77EE5">
      <w:pPr>
        <w:keepNext/>
        <w:keepLines/>
        <w:spacing w:line="360" w:lineRule="auto"/>
        <w:ind w:firstLine="482" w:firstLineChars="200"/>
        <w:jc w:val="both"/>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四</w:t>
      </w:r>
      <w:r>
        <w:rPr>
          <w:rFonts w:hint="eastAsia" w:ascii="仿宋_GB2312" w:hAnsi="仿宋_GB2312" w:eastAsia="仿宋_GB2312" w:cs="仿宋_GB2312"/>
          <w:b/>
          <w:bCs/>
          <w:color w:val="000000"/>
          <w:sz w:val="24"/>
          <w:lang w:eastAsia="zh-CN"/>
        </w:rPr>
        <w:t>）</w:t>
      </w:r>
      <w:r>
        <w:rPr>
          <w:rFonts w:hint="eastAsia" w:ascii="仿宋_GB2312" w:hAnsi="仿宋_GB2312" w:eastAsia="仿宋_GB2312" w:cs="仿宋_GB2312"/>
          <w:b/>
          <w:bCs/>
          <w:color w:val="000000"/>
          <w:sz w:val="24"/>
          <w:lang w:val="en-US" w:eastAsia="zh-CN"/>
        </w:rPr>
        <w:t>实习</w:t>
      </w:r>
      <w:r>
        <w:rPr>
          <w:rFonts w:hint="eastAsia" w:ascii="仿宋_GB2312" w:hAnsi="仿宋_GB2312" w:eastAsia="仿宋_GB2312" w:cs="仿宋_GB2312"/>
          <w:b/>
          <w:bCs/>
          <w:color w:val="000000"/>
          <w:sz w:val="24"/>
          <w:lang w:eastAsia="zh-CN"/>
        </w:rPr>
        <w:t>科目：</w:t>
      </w:r>
      <w:r>
        <w:rPr>
          <w:rFonts w:hint="eastAsia" w:ascii="仿宋_GB2312" w:hAnsi="仿宋_GB2312" w:eastAsia="仿宋_GB2312" w:cs="仿宋_GB2312"/>
          <w:b w:val="0"/>
          <w:bCs w:val="0"/>
          <w:color w:val="000000"/>
          <w:sz w:val="24"/>
          <w:lang w:eastAsia="zh-CN"/>
        </w:rPr>
        <w:t>固定</w:t>
      </w:r>
      <w:r>
        <w:rPr>
          <w:rFonts w:hint="eastAsia" w:ascii="仿宋_GB2312" w:hAnsi="仿宋_GB2312" w:eastAsia="仿宋_GB2312" w:cs="仿宋_GB2312"/>
          <w:b w:val="0"/>
          <w:bCs w:val="0"/>
          <w:color w:val="000000"/>
          <w:sz w:val="24"/>
          <w:lang w:val="en-US" w:eastAsia="zh-CN"/>
        </w:rPr>
        <w:t>义齿</w:t>
      </w:r>
      <w:r>
        <w:rPr>
          <w:rFonts w:hint="eastAsia" w:ascii="仿宋_GB2312" w:hAnsi="仿宋_GB2312" w:eastAsia="仿宋_GB2312" w:cs="仿宋_GB2312"/>
          <w:b w:val="0"/>
          <w:bCs w:val="0"/>
          <w:color w:val="000000"/>
          <w:sz w:val="24"/>
          <w:lang w:eastAsia="zh-CN"/>
        </w:rPr>
        <w:t>、活动</w:t>
      </w:r>
      <w:r>
        <w:rPr>
          <w:rFonts w:hint="eastAsia" w:ascii="仿宋_GB2312" w:hAnsi="仿宋_GB2312" w:eastAsia="仿宋_GB2312" w:cs="仿宋_GB2312"/>
          <w:b w:val="0"/>
          <w:bCs w:val="0"/>
          <w:color w:val="000000"/>
          <w:sz w:val="24"/>
          <w:lang w:val="en-US" w:eastAsia="zh-CN"/>
        </w:rPr>
        <w:t>义齿</w:t>
      </w:r>
      <w:r>
        <w:rPr>
          <w:rFonts w:hint="eastAsia" w:ascii="仿宋_GB2312" w:hAnsi="仿宋_GB2312" w:eastAsia="仿宋_GB2312" w:cs="仿宋_GB2312"/>
          <w:b w:val="0"/>
          <w:bCs w:val="0"/>
          <w:color w:val="000000"/>
          <w:sz w:val="24"/>
          <w:lang w:eastAsia="zh-CN"/>
        </w:rPr>
        <w:t>、数字化</w:t>
      </w:r>
      <w:r>
        <w:rPr>
          <w:rFonts w:hint="eastAsia" w:ascii="仿宋_GB2312" w:hAnsi="仿宋_GB2312" w:eastAsia="仿宋_GB2312" w:cs="仿宋_GB2312"/>
          <w:b w:val="0"/>
          <w:bCs w:val="0"/>
          <w:color w:val="000000"/>
          <w:sz w:val="24"/>
          <w:lang w:val="en-US" w:eastAsia="zh-CN"/>
        </w:rPr>
        <w:t>设计与制作</w:t>
      </w:r>
      <w:r>
        <w:rPr>
          <w:rFonts w:hint="eastAsia" w:ascii="仿宋_GB2312" w:hAnsi="仿宋_GB2312" w:eastAsia="仿宋_GB2312" w:cs="仿宋_GB2312"/>
          <w:b w:val="0"/>
          <w:bCs w:val="0"/>
          <w:color w:val="000000"/>
          <w:sz w:val="24"/>
          <w:lang w:eastAsia="zh-CN"/>
        </w:rPr>
        <w:t>、正畸、种植、临床服务、</w:t>
      </w:r>
      <w:r>
        <w:rPr>
          <w:rFonts w:hint="eastAsia" w:ascii="仿宋_GB2312" w:hAnsi="仿宋_GB2312" w:eastAsia="仿宋_GB2312" w:cs="仿宋_GB2312"/>
          <w:b w:val="0"/>
          <w:bCs w:val="0"/>
          <w:color w:val="000000"/>
          <w:sz w:val="24"/>
          <w:lang w:val="en-US" w:eastAsia="zh-CN"/>
        </w:rPr>
        <w:t>质量检测</w:t>
      </w:r>
      <w:r>
        <w:rPr>
          <w:rFonts w:hint="eastAsia" w:ascii="仿宋_GB2312" w:hAnsi="仿宋_GB2312" w:eastAsia="仿宋_GB2312" w:cs="仿宋_GB2312"/>
          <w:color w:val="000000"/>
          <w:sz w:val="24"/>
          <w:lang w:val="en-US" w:eastAsia="zh-CN"/>
        </w:rPr>
        <w:t>。具体周数分配如下：</w:t>
      </w:r>
    </w:p>
    <w:tbl>
      <w:tblPr>
        <w:tblStyle w:val="14"/>
        <w:tblW w:w="976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20"/>
        <w:gridCol w:w="1243"/>
        <w:gridCol w:w="1200"/>
        <w:gridCol w:w="1290"/>
        <w:gridCol w:w="945"/>
        <w:gridCol w:w="885"/>
        <w:gridCol w:w="1305"/>
        <w:gridCol w:w="1305"/>
        <w:gridCol w:w="774"/>
      </w:tblGrid>
      <w:tr w14:paraId="24B84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7"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18409">
            <w:pPr>
              <w:keepNext/>
              <w:keepLines/>
              <w:spacing w:line="360" w:lineRule="auto"/>
              <w:ind w:left="0" w:leftChars="0" w:right="0" w:rightChars="0"/>
              <w:jc w:val="both"/>
              <w:rPr>
                <w:rFonts w:hint="eastAsia" w:ascii="仿宋_GB2312" w:hAnsi="仿宋_GB2312" w:eastAsia="仿宋_GB2312" w:cs="仿宋_GB2312"/>
                <w:color w:val="000000"/>
                <w:sz w:val="24"/>
                <w:szCs w:val="22"/>
                <w:highlight w:val="none"/>
                <w:lang w:val="zh-CN" w:eastAsia="zh-CN" w:bidi="zh-CN"/>
              </w:rPr>
            </w:pPr>
            <w:r>
              <w:rPr>
                <w:rFonts w:hint="eastAsia" w:ascii="仿宋_GB2312" w:hAnsi="仿宋_GB2312" w:eastAsia="仿宋_GB2312" w:cs="仿宋_GB2312"/>
                <w:color w:val="000000"/>
                <w:sz w:val="24"/>
                <w:highlight w:val="none"/>
                <w:lang w:val="en-US" w:eastAsia="zh-CN"/>
              </w:rPr>
              <w:t>科目</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946F">
            <w:pPr>
              <w:keepNext/>
              <w:keepLines/>
              <w:spacing w:line="240" w:lineRule="auto"/>
              <w:ind w:left="0" w:leftChars="0" w:right="0" w:rightChars="0"/>
              <w:jc w:val="both"/>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b w:val="0"/>
                <w:bCs w:val="0"/>
                <w:color w:val="000000"/>
                <w:sz w:val="24"/>
                <w:lang w:eastAsia="zh-CN"/>
              </w:rPr>
              <w:t>固定</w:t>
            </w:r>
            <w:r>
              <w:rPr>
                <w:rFonts w:hint="eastAsia" w:ascii="仿宋_GB2312" w:hAnsi="仿宋_GB2312" w:eastAsia="仿宋_GB2312" w:cs="仿宋_GB2312"/>
                <w:b w:val="0"/>
                <w:bCs w:val="0"/>
                <w:color w:val="000000"/>
                <w:sz w:val="24"/>
                <w:lang w:val="en-US" w:eastAsia="zh-CN"/>
              </w:rPr>
              <w:t>义齿</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CE77E">
            <w:pPr>
              <w:keepNext/>
              <w:keepLines/>
              <w:spacing w:line="240" w:lineRule="auto"/>
              <w:ind w:left="0" w:leftChars="0" w:right="0" w:rightChars="0"/>
              <w:jc w:val="both"/>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b w:val="0"/>
                <w:bCs w:val="0"/>
                <w:color w:val="000000"/>
                <w:sz w:val="24"/>
                <w:lang w:eastAsia="zh-CN"/>
              </w:rPr>
              <w:t>活动</w:t>
            </w:r>
            <w:r>
              <w:rPr>
                <w:rFonts w:hint="eastAsia" w:ascii="仿宋_GB2312" w:hAnsi="仿宋_GB2312" w:eastAsia="仿宋_GB2312" w:cs="仿宋_GB2312"/>
                <w:b w:val="0"/>
                <w:bCs w:val="0"/>
                <w:color w:val="000000"/>
                <w:sz w:val="24"/>
                <w:lang w:val="en-US" w:eastAsia="zh-CN"/>
              </w:rPr>
              <w:t>义齿</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7A611">
            <w:pPr>
              <w:keepNext/>
              <w:keepLines/>
              <w:spacing w:line="240" w:lineRule="auto"/>
              <w:ind w:right="0" w:rightChars="0"/>
              <w:jc w:val="both"/>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b w:val="0"/>
                <w:bCs w:val="0"/>
                <w:color w:val="000000"/>
                <w:sz w:val="24"/>
                <w:lang w:eastAsia="zh-CN"/>
              </w:rPr>
              <w:t>数字化</w:t>
            </w:r>
            <w:r>
              <w:rPr>
                <w:rFonts w:hint="eastAsia" w:ascii="仿宋_GB2312" w:hAnsi="仿宋_GB2312" w:eastAsia="仿宋_GB2312" w:cs="仿宋_GB2312"/>
                <w:b w:val="0"/>
                <w:bCs w:val="0"/>
                <w:color w:val="000000"/>
                <w:sz w:val="24"/>
                <w:lang w:val="en-US" w:eastAsia="zh-CN"/>
              </w:rPr>
              <w:t>设计与制作</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98C3">
            <w:pPr>
              <w:keepNext/>
              <w:keepLines/>
              <w:spacing w:line="240" w:lineRule="auto"/>
              <w:ind w:left="0" w:leftChars="0" w:right="0" w:rightChars="0"/>
              <w:jc w:val="both"/>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b w:val="0"/>
                <w:bCs w:val="0"/>
                <w:color w:val="000000"/>
                <w:sz w:val="24"/>
                <w:lang w:eastAsia="zh-CN"/>
              </w:rPr>
              <w:t>正畸</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808E6">
            <w:pPr>
              <w:keepNext/>
              <w:keepLines/>
              <w:spacing w:line="240" w:lineRule="auto"/>
              <w:ind w:left="0" w:leftChars="0" w:right="0" w:rightChars="0"/>
              <w:jc w:val="both"/>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b w:val="0"/>
                <w:bCs w:val="0"/>
                <w:color w:val="000000"/>
                <w:sz w:val="24"/>
                <w:lang w:eastAsia="zh-CN"/>
              </w:rPr>
              <w:t>种植</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17220">
            <w:pPr>
              <w:keepNext/>
              <w:keepLines/>
              <w:spacing w:line="240" w:lineRule="auto"/>
              <w:ind w:left="0" w:leftChars="0" w:right="0" w:rightChars="0"/>
              <w:jc w:val="both"/>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b w:val="0"/>
                <w:bCs w:val="0"/>
                <w:color w:val="000000"/>
                <w:sz w:val="24"/>
                <w:lang w:eastAsia="zh-CN"/>
              </w:rPr>
              <w:t>临床服务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786DA">
            <w:pPr>
              <w:keepNext/>
              <w:keepLines/>
              <w:spacing w:line="240" w:lineRule="auto"/>
              <w:ind w:left="0" w:leftChars="0" w:right="0" w:rightChars="0"/>
              <w:jc w:val="both"/>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b w:val="0"/>
                <w:bCs w:val="0"/>
                <w:color w:val="000000"/>
                <w:sz w:val="24"/>
                <w:lang w:val="en-US" w:eastAsia="zh-CN"/>
              </w:rPr>
              <w:t>质量检测</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2E64B">
            <w:pPr>
              <w:keepNext/>
              <w:keepLines/>
              <w:spacing w:line="240" w:lineRule="auto"/>
              <w:ind w:left="0" w:leftChars="0" w:right="0" w:rightChars="0"/>
              <w:jc w:val="both"/>
              <w:rPr>
                <w:rFonts w:hint="eastAsia"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总计</w:t>
            </w:r>
          </w:p>
        </w:tc>
      </w:tr>
      <w:tr w14:paraId="632F3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jc w:val="center"/>
        </w:trPr>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F0D0">
            <w:pPr>
              <w:keepNext/>
              <w:keepLines/>
              <w:spacing w:line="360" w:lineRule="auto"/>
              <w:jc w:val="both"/>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周数</w:t>
            </w:r>
          </w:p>
        </w:tc>
        <w:tc>
          <w:tcPr>
            <w:tcW w:w="12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13F5">
            <w:pPr>
              <w:keepNext/>
              <w:keepLines/>
              <w:spacing w:line="360" w:lineRule="auto"/>
              <w:jc w:val="center"/>
              <w:rPr>
                <w:rFonts w:hint="default" w:ascii="仿宋_GB2312" w:hAnsi="仿宋_GB2312" w:eastAsia="仿宋_GB2312" w:cs="仿宋_GB2312"/>
                <w:color w:val="000000"/>
                <w:sz w:val="24"/>
                <w:highlight w:val="none"/>
                <w:lang w:val="en-US"/>
              </w:rPr>
            </w:pPr>
            <w:r>
              <w:rPr>
                <w:rFonts w:hint="eastAsia" w:ascii="仿宋_GB2312" w:hAnsi="仿宋_GB2312" w:eastAsia="仿宋_GB2312" w:cs="仿宋_GB2312"/>
                <w:color w:val="000000"/>
                <w:sz w:val="24"/>
                <w:highlight w:val="none"/>
                <w:lang w:val="en-US" w:eastAsia="zh-CN"/>
              </w:rPr>
              <w:t>8</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39F0">
            <w:pPr>
              <w:keepNext/>
              <w:keepLines/>
              <w:spacing w:line="360" w:lineRule="auto"/>
              <w:jc w:val="center"/>
              <w:rPr>
                <w:rFonts w:hint="default" w:ascii="仿宋_GB2312" w:hAnsi="仿宋_GB2312" w:eastAsia="仿宋_GB2312" w:cs="仿宋_GB2312"/>
                <w:color w:val="000000"/>
                <w:sz w:val="24"/>
                <w:highlight w:val="none"/>
                <w:lang w:val="en-US"/>
              </w:rPr>
            </w:pPr>
            <w:r>
              <w:rPr>
                <w:rFonts w:hint="eastAsia" w:ascii="仿宋_GB2312" w:hAnsi="仿宋_GB2312" w:eastAsia="仿宋_GB2312" w:cs="仿宋_GB2312"/>
                <w:color w:val="000000"/>
                <w:sz w:val="24"/>
                <w:highlight w:val="none"/>
                <w:lang w:val="en-US" w:eastAsia="zh-CN"/>
              </w:rPr>
              <w:t>8</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D6C52">
            <w:pPr>
              <w:keepNext/>
              <w:keepLines/>
              <w:spacing w:line="360" w:lineRule="auto"/>
              <w:jc w:val="center"/>
              <w:rPr>
                <w:rFonts w:hint="default" w:ascii="仿宋_GB2312" w:hAnsi="仿宋_GB2312" w:eastAsia="仿宋_GB2312" w:cs="仿宋_GB2312"/>
                <w:color w:val="000000"/>
                <w:sz w:val="24"/>
                <w:highlight w:val="none"/>
                <w:lang w:val="en-US"/>
              </w:rPr>
            </w:pPr>
            <w:r>
              <w:rPr>
                <w:rFonts w:hint="eastAsia" w:ascii="仿宋_GB2312" w:hAnsi="仿宋_GB2312" w:eastAsia="仿宋_GB2312" w:cs="仿宋_GB2312"/>
                <w:color w:val="000000"/>
                <w:sz w:val="24"/>
                <w:highlight w:val="none"/>
                <w:lang w:val="en-US" w:eastAsia="zh-CN"/>
              </w:rPr>
              <w:t>8</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5FEB">
            <w:pPr>
              <w:keepNext/>
              <w:keepLines/>
              <w:spacing w:line="360" w:lineRule="auto"/>
              <w:ind w:left="0" w:leftChars="0" w:right="0" w:rightChars="0"/>
              <w:jc w:val="center"/>
              <w:rPr>
                <w:rFonts w:hint="eastAsia" w:ascii="仿宋_GB2312" w:hAnsi="仿宋_GB2312" w:eastAsia="仿宋_GB2312" w:cs="仿宋_GB2312"/>
                <w:color w:val="000000"/>
                <w:sz w:val="24"/>
                <w:szCs w:val="22"/>
                <w:highlight w:val="none"/>
                <w:lang w:val="en-US" w:eastAsia="zh-CN" w:bidi="zh-CN"/>
              </w:rPr>
            </w:pPr>
            <w:r>
              <w:rPr>
                <w:rFonts w:hint="eastAsia" w:ascii="仿宋_GB2312" w:hAnsi="仿宋_GB2312" w:eastAsia="仿宋_GB2312" w:cs="仿宋_GB2312"/>
                <w:color w:val="000000"/>
                <w:sz w:val="24"/>
                <w:highlight w:val="none"/>
                <w:lang w:val="en-US" w:eastAsia="zh-CN"/>
              </w:rPr>
              <w:t>4</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6F370">
            <w:pPr>
              <w:keepNext/>
              <w:keepLines/>
              <w:spacing w:line="360" w:lineRule="auto"/>
              <w:ind w:left="0" w:leftChars="0" w:right="0" w:rightChars="0"/>
              <w:jc w:val="center"/>
              <w:rPr>
                <w:rFonts w:hint="default"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4</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F6BF">
            <w:pPr>
              <w:keepNext/>
              <w:keepLines/>
              <w:spacing w:line="360" w:lineRule="auto"/>
              <w:ind w:left="0" w:leftChars="0" w:right="0" w:rightChars="0"/>
              <w:jc w:val="center"/>
              <w:rPr>
                <w:rFonts w:hint="default"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BDDF6">
            <w:pPr>
              <w:keepNext/>
              <w:keepLines/>
              <w:spacing w:line="360" w:lineRule="auto"/>
              <w:ind w:left="0" w:leftChars="0" w:right="0" w:rightChars="0"/>
              <w:jc w:val="center"/>
              <w:rPr>
                <w:rFonts w:hint="default"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2</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6657C">
            <w:pPr>
              <w:keepNext/>
              <w:keepLines/>
              <w:spacing w:line="360" w:lineRule="auto"/>
              <w:ind w:left="0" w:leftChars="0" w:right="0" w:rightChars="0"/>
              <w:jc w:val="center"/>
              <w:rPr>
                <w:rFonts w:hint="default" w:ascii="仿宋_GB2312" w:hAnsi="仿宋_GB2312" w:eastAsia="仿宋_GB2312" w:cs="仿宋_GB2312"/>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36</w:t>
            </w:r>
          </w:p>
        </w:tc>
      </w:tr>
    </w:tbl>
    <w:p w14:paraId="7EAC7769">
      <w:pPr>
        <w:keepNext/>
        <w:keepLines/>
        <w:spacing w:line="360" w:lineRule="auto"/>
        <w:ind w:firstLine="480" w:firstLineChars="200"/>
        <w:jc w:val="both"/>
        <w:rPr>
          <w:rFonts w:hint="eastAsia"/>
          <w:lang w:eastAsia="zh-CN"/>
        </w:rPr>
      </w:pPr>
      <w:r>
        <w:rPr>
          <w:rFonts w:hint="eastAsia" w:ascii="仿宋_GB2312" w:hAnsi="仿宋_GB2312" w:eastAsia="仿宋_GB2312" w:cs="仿宋_GB2312"/>
          <w:color w:val="000000"/>
          <w:sz w:val="24"/>
          <w:lang w:eastAsia="zh-CN"/>
        </w:rPr>
        <w:t>说明：各实习单位可根据本单位的实际情况对上述安排作适当微调。</w:t>
      </w:r>
    </w:p>
    <w:p w14:paraId="18BB7E18">
      <w:pPr>
        <w:keepNext/>
        <w:keepLines/>
        <w:spacing w:line="360" w:lineRule="auto"/>
        <w:ind w:firstLine="562" w:firstLineChars="200"/>
        <w:jc w:val="both"/>
        <w:rPr>
          <w:rFonts w:hint="eastAsia" w:ascii="仿宋_GB2312" w:hAnsi="仿宋_GB2312" w:eastAsia="仿宋_GB2312" w:cs="仿宋_GB2312"/>
          <w:b/>
          <w:sz w:val="28"/>
          <w:szCs w:val="36"/>
          <w:lang w:val="en-US" w:eastAsia="zh-CN"/>
        </w:rPr>
      </w:pPr>
      <w:r>
        <w:rPr>
          <w:rFonts w:hint="eastAsia" w:ascii="仿宋_GB2312" w:hAnsi="仿宋_GB2312" w:eastAsia="仿宋_GB2312" w:cs="仿宋_GB2312"/>
          <w:b/>
          <w:sz w:val="28"/>
          <w:szCs w:val="36"/>
          <w:lang w:val="en-US" w:eastAsia="zh-CN"/>
        </w:rPr>
        <w:t>三、实习具体内容</w:t>
      </w:r>
    </w:p>
    <w:p w14:paraId="78A6888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实习时间：共36周</w:t>
      </w:r>
    </w:p>
    <w:p w14:paraId="5BDB8618">
      <w:pPr>
        <w:spacing w:line="360" w:lineRule="auto"/>
        <w:ind w:firstLine="480" w:firstLineChars="200"/>
        <w:jc w:val="both"/>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包括固定义齿、活动义齿、数字化设计与制作、正畸、种植、临床服务、质量检测。具体分配如下：</w:t>
      </w:r>
    </w:p>
    <w:p w14:paraId="7C9FD034">
      <w:pPr>
        <w:spacing w:line="360" w:lineRule="auto"/>
        <w:ind w:firstLine="482" w:firstLineChars="200"/>
        <w:jc w:val="both"/>
        <w:rPr>
          <w:rFonts w:hint="default" w:ascii="仿宋_GB2312" w:hAnsi="仿宋_GB2312" w:eastAsia="仿宋_GB2312" w:cs="仿宋_GB2312"/>
          <w:b/>
          <w:color w:val="000000"/>
          <w:sz w:val="24"/>
          <w:szCs w:val="28"/>
          <w:lang w:val="en-US" w:eastAsia="zh-CN"/>
        </w:rPr>
      </w:pPr>
      <w:r>
        <w:rPr>
          <w:rFonts w:hint="eastAsia" w:ascii="仿宋_GB2312" w:hAnsi="仿宋_GB2312" w:eastAsia="仿宋_GB2312" w:cs="仿宋_GB2312"/>
          <w:b/>
          <w:color w:val="000000"/>
          <w:sz w:val="24"/>
          <w:szCs w:val="28"/>
          <w:lang w:val="en-US" w:eastAsia="zh-CN"/>
        </w:rPr>
        <w:t>（一）义齿加工企业、各级各类医疗机构口腔技工室或义齿加工中心</w:t>
      </w:r>
    </w:p>
    <w:p w14:paraId="4F76C15F">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1.固定义齿（8周）</w:t>
      </w:r>
    </w:p>
    <w:p w14:paraId="0D5E2B5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32C62CB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（1）深入理解不同固定义齿类型的特点及适用范围，如单冠、桥体等。</w:t>
      </w:r>
    </w:p>
    <w:p w14:paraId="4F85BC2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（2）掌握各类固定义齿材料的性能差异，包括金属、烤瓷、全瓷等。</w:t>
      </w:r>
    </w:p>
    <w:p w14:paraId="3701C0E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（3）熟悉型内冠蜡型制作的关键要点和精度要求。</w:t>
      </w:r>
    </w:p>
    <w:p w14:paraId="1316968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（4）了解铸造包埋的原理和不同包埋材料的特性。</w:t>
      </w:r>
    </w:p>
    <w:p w14:paraId="4762512B">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（5）知晓车金、上瓷、上釉等工艺的技术标准。</w:t>
      </w:r>
    </w:p>
    <w:p w14:paraId="4FB1E4A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42CCDAE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（1）精确制作型内冠蜡型，确保尺寸准确、形态美观。</w:t>
      </w:r>
    </w:p>
    <w:p w14:paraId="07ACC78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（2）熟练进行铸造包埋操作，保证包埋质量。</w:t>
      </w:r>
    </w:p>
    <w:p w14:paraId="43577DF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（3）掌握车金工艺，使金属修复体表面光滑平整。</w:t>
      </w:r>
    </w:p>
    <w:p w14:paraId="33A0393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（4）能够进行上瓷操作，实现颜色和质感的自然过渡。</w:t>
      </w:r>
    </w:p>
    <w:p w14:paraId="7A665AF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（5）对冠桥进行精细打磨和上釉，提升修复体的美观度。</w:t>
      </w:r>
    </w:p>
    <w:p w14:paraId="45E8383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0E4BED6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（1）培养严谨细致的工作态度，因为固定义齿的制作精度要求高，任何小的失误都可能影响义齿的质量和使用效果。</w:t>
      </w:r>
    </w:p>
    <w:p w14:paraId="697A78F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（2）具备耐心和恒心，在进行型内冠蜡型制作、车金、上瓷等工序时，可能需要反复调整和完善。</w:t>
      </w:r>
    </w:p>
    <w:p w14:paraId="7D4FF7F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（3）树立质量至上的意识，固定义齿直接影响患者的口腔健康和美观，必须确保每一个环节都符合质量标准。</w:t>
      </w:r>
    </w:p>
    <w:p w14:paraId="36A97C6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（4）提高自我学习和创新能力，随着材料和技术的不断发展，要积极学习新的制作方法和工艺。</w:t>
      </w:r>
    </w:p>
    <w:p w14:paraId="30861443">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2.活动义齿（8周）</w:t>
      </w:r>
    </w:p>
    <w:p w14:paraId="0F1CDE6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6011593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（1）明确活动义齿各部件的功能和设计要求。</w:t>
      </w:r>
    </w:p>
    <w:p w14:paraId="356506E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（2）掌握不同活动义齿材料的特点和适用情况。</w:t>
      </w:r>
    </w:p>
    <w:p w14:paraId="5335F87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（3）了解模型修整和复设计的方法和原则。</w:t>
      </w:r>
    </w:p>
    <w:p w14:paraId="6F885C8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（4）熟悉卡环弯制的技巧和力度控制。</w:t>
      </w:r>
    </w:p>
    <w:p w14:paraId="448B44A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（5）知晓胶托蜡型制作和排牙的规范。</w:t>
      </w:r>
    </w:p>
    <w:p w14:paraId="7F4B6BF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104CFA0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（1）准确进行模型修整和复设计，为活动义齿制作提供良好基础。</w:t>
      </w:r>
    </w:p>
    <w:p w14:paraId="225B9BB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（2）熟练弯制卡环，确保固位力合适。</w:t>
      </w:r>
    </w:p>
    <w:p w14:paraId="06B26B3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（3）精心制作胶托蜡型，保证形态和厚度适宜。</w:t>
      </w:r>
    </w:p>
    <w:p w14:paraId="41FFCDE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（4）合理进行胶托排牙，兼顾美观和功能。</w:t>
      </w:r>
    </w:p>
    <w:p w14:paraId="2B2BC97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（5）对活动义齿进行铸造包埋和打磨，提高质量。</w:t>
      </w:r>
    </w:p>
    <w:p w14:paraId="156C86D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282E1EF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（1）注重团队协作，活动义齿的制作涉及多个岗位，需要与同事密切配合，确保各个环节的顺利进行。</w:t>
      </w:r>
    </w:p>
    <w:p w14:paraId="47C9B01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（2）锻炼动手能力和空间想象力，在进行模型修整、卡环弯制、胶托蜡型制作等操作时，需要准确把握尺寸和形态。</w:t>
      </w:r>
    </w:p>
    <w:p w14:paraId="129A69F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（3）培养服务意识，活动义齿的舒适度和实用性对患者至关重要，要以患者需求为导向进行制作。</w:t>
      </w:r>
    </w:p>
    <w:p w14:paraId="10493FD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（4）增强问题解决能力，在制作过程中可能会遇到各种问题，如材料不匹配、设计不合理等，要能够及时找到解决方案。</w:t>
      </w:r>
    </w:p>
    <w:p w14:paraId="0D4F467C">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3.数字化设计与制作（8周）</w:t>
      </w:r>
    </w:p>
    <w:p w14:paraId="05D1993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31D565C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（1）了解数字化口腔技术在义齿制作中的优势和应用前景。</w:t>
      </w:r>
    </w:p>
    <w:p w14:paraId="7220D86B">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（2）熟悉口腔扫描设备的操作原理和参数设置。</w:t>
      </w:r>
    </w:p>
    <w:p w14:paraId="7E95701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（3）掌握数字化设计软件的功能和使用方法。</w:t>
      </w:r>
    </w:p>
    <w:p w14:paraId="2C260C7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（4）知晓排版、切削、3D 打印等工艺的流程和技术要点。</w:t>
      </w:r>
    </w:p>
    <w:p w14:paraId="46050C3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（5）了解上瓷、染色上釉在数字化义齿制作中的特殊要求。</w:t>
      </w:r>
    </w:p>
    <w:p w14:paraId="5503B38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13A9B6F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（1）熟练操作口腔扫描设备，获取准确的口腔数据。</w:t>
      </w:r>
    </w:p>
    <w:p w14:paraId="00B457B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（2）运用数字化设计软件进行高效的义齿设计。</w:t>
      </w:r>
    </w:p>
    <w:p w14:paraId="48213AB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（3）掌握排版和切削工艺，确保义齿精度。</w:t>
      </w:r>
    </w:p>
    <w:p w14:paraId="645073A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（4）操作3D打印设备制作义齿模型。</w:t>
      </w:r>
    </w:p>
    <w:p w14:paraId="190FD5E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（5）进行上瓷和染色上釉，提升数字化义齿的美观度。</w:t>
      </w:r>
    </w:p>
    <w:p w14:paraId="2B00DF5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140CA2C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（1）紧跟科技发展的步伐，不断学习和掌握新的数字化技术，提升自己的专业水平。</w:t>
      </w:r>
    </w:p>
    <w:p w14:paraId="4A491FA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（2）具备良好的计算机操作技能和软件应用能力，能够熟练使用数字化设计软件和设备。</w:t>
      </w:r>
    </w:p>
    <w:p w14:paraId="3D14589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（3）培养创新思维，探索数字化技术在义齿制作中的更多应用可能性。</w:t>
      </w:r>
    </w:p>
    <w:p w14:paraId="6B6A592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（4）提高数据安全意识，保护患者的口腔数据和隐私。</w:t>
      </w:r>
    </w:p>
    <w:p w14:paraId="40439EDD">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4.正畸（4周）</w:t>
      </w:r>
    </w:p>
    <w:p w14:paraId="749954B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1970C3C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（1）认识正畸治疗的目的和基本原理。</w:t>
      </w:r>
    </w:p>
    <w:p w14:paraId="1B62390B">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（2）了解不同正畸矫治器的类型和特点。</w:t>
      </w:r>
    </w:p>
    <w:p w14:paraId="44AE22E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（3）掌握模型修整和设计的方法。</w:t>
      </w:r>
    </w:p>
    <w:p w14:paraId="7D13A73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（4）熟悉卡环弯制和胶托蜡型制作在正畸中的应用。</w:t>
      </w:r>
    </w:p>
    <w:p w14:paraId="3FDA368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（5）知晓正畸治疗过程中的注意事项。</w:t>
      </w:r>
    </w:p>
    <w:p w14:paraId="6269EFB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510488F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（1）精细修整正畸模型，为矫治器制作提供准确模型。</w:t>
      </w:r>
    </w:p>
    <w:p w14:paraId="7A07F95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（2）准确弯制卡环，确保正畸矫治器的固位。</w:t>
      </w:r>
    </w:p>
    <w:p w14:paraId="10A32BE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（3）制作胶托蜡型，辅助正畸治疗。</w:t>
      </w:r>
    </w:p>
    <w:p w14:paraId="6DBE76D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（4）协助医生进行矫治器的调整和安装。</w:t>
      </w:r>
    </w:p>
    <w:p w14:paraId="1B5A989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（5）对正畸患者进行口腔护理指导。</w:t>
      </w:r>
    </w:p>
    <w:p w14:paraId="402E8D5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77D7B56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（1）具备一定的美学素养，因为正畸不仅要矫正牙齿的排列，还要考虑面部美观的因素。</w:t>
      </w:r>
    </w:p>
    <w:p w14:paraId="0E4C3FF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（2）拥有耐心和责任心，正畸治疗过程较长，需要对患者进行持续的关注和指导。</w:t>
      </w:r>
    </w:p>
    <w:p w14:paraId="22A38C9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（3）加强沟通能力，与患者和医生进行有效的沟通，了解患者的需求和医生的治疗方案。</w:t>
      </w:r>
    </w:p>
    <w:p w14:paraId="29375ED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（4）树立安全意识，在进行卡环弯制等操作时，要确保患者的口腔安全。</w:t>
      </w:r>
    </w:p>
    <w:p w14:paraId="5E5776C5">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5.种植（4周）</w:t>
      </w:r>
    </w:p>
    <w:p w14:paraId="04E42A8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1099934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（1）了解种植牙的结构和生理基础。</w:t>
      </w:r>
    </w:p>
    <w:p w14:paraId="183D7F7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（2）掌握种植义齿的设计原则和制作流程。</w:t>
      </w:r>
    </w:p>
    <w:p w14:paraId="2116DF7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（3）熟悉型选台修计种导的方法和要点。</w:t>
      </w:r>
    </w:p>
    <w:p w14:paraId="1B5F6C9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（4）知晓车金、上瓷、上釉在种植义齿制作中的特殊要求。</w:t>
      </w:r>
    </w:p>
    <w:p w14:paraId="6C9BF7F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（5）了解种植牙的术后护理和维护。</w:t>
      </w:r>
    </w:p>
    <w:p w14:paraId="76E9E4E9">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29C841C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（1）协助医生进行型选台修计种导操作。</w:t>
      </w:r>
    </w:p>
    <w:p w14:paraId="5AF5492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（2）进行种植义齿的冠蜡型制作、车金、上瓷和上釉。</w:t>
      </w:r>
    </w:p>
    <w:p w14:paraId="16447E1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（3）确保种植义齿的质量和美观度。</w:t>
      </w:r>
    </w:p>
    <w:p w14:paraId="6277651B">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（4）对种植患者进行术后护理指导。</w:t>
      </w:r>
    </w:p>
    <w:p w14:paraId="7CBFB70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（5）参与种植义齿的质量检测和调整。</w:t>
      </w:r>
    </w:p>
    <w:p w14:paraId="38733AA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25A8F2F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（1）掌握扎实的解剖学和生理学知识，了解种植牙的生理基础和手术风险。</w:t>
      </w:r>
    </w:p>
    <w:p w14:paraId="3350E23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（2）培养严谨的工作作风，种植义齿的制作和安装要求高度的准确性和稳定性。</w:t>
      </w:r>
    </w:p>
    <w:p w14:paraId="7F2D8D8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（3）增强抗压能力，种植手术对技术要求高，可能会面临一定的压力和挑战。</w:t>
      </w:r>
    </w:p>
    <w:p w14:paraId="79A3C23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（4）提高应急处理能力，在手术过程中可能会出现意外情况，要能够迅速做出反应。</w:t>
      </w:r>
    </w:p>
    <w:p w14:paraId="5078078A">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6.临床服务（2周）</w:t>
      </w:r>
    </w:p>
    <w:p w14:paraId="6029139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593E3B1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（1）了解口腔临床服务的流程和规范。</w:t>
      </w:r>
    </w:p>
    <w:p w14:paraId="098C161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（2）掌握椅旁服务和数字扫描的技术要点。</w:t>
      </w:r>
    </w:p>
    <w:p w14:paraId="1B7FF44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（3）熟悉患者的需求和心理特点。</w:t>
      </w:r>
    </w:p>
    <w:p w14:paraId="498B11A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（4）知晓口腔健康教育的内容和方法。</w:t>
      </w:r>
    </w:p>
    <w:p w14:paraId="11EB461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（5）了解医疗纠纷的预防和处理。</w:t>
      </w:r>
    </w:p>
    <w:p w14:paraId="070BA6D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336E97F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（1）热情、周到地为患者提供椅旁服务。</w:t>
      </w:r>
    </w:p>
    <w:p w14:paraId="7FC4820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（2）熟练操作数字扫描设备，获取准确数据。</w:t>
      </w:r>
    </w:p>
    <w:p w14:paraId="633C370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（3）对患者进行口腔健康教育宣传。</w:t>
      </w:r>
    </w:p>
    <w:p w14:paraId="3A065EA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（4）协助医生进行临床治疗的准备工作。</w:t>
      </w:r>
    </w:p>
    <w:p w14:paraId="4E18730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（5）妥善处理患者的问题和投诉。</w:t>
      </w:r>
    </w:p>
    <w:p w14:paraId="1369E3C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04A26A3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（1）树立以患者为中心的服务理念，热情、周到地为患者提供服务。</w:t>
      </w:r>
    </w:p>
    <w:p w14:paraId="6A92D128">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（2）具备良好的沟通能力和人际交往能力，与患者建立良好的关系。</w:t>
      </w:r>
    </w:p>
    <w:p w14:paraId="33A5643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（3）培养团队合作精神，与医生和其他工作人员密切配合，为患者提供优质的医疗服务。</w:t>
      </w:r>
    </w:p>
    <w:p w14:paraId="53C54A4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（4）提高应变能力，能够灵活应对各种突发情况和患者的特殊需求。</w:t>
      </w:r>
    </w:p>
    <w:p w14:paraId="7D859731">
      <w:pPr>
        <w:spacing w:line="360" w:lineRule="auto"/>
        <w:ind w:firstLine="482" w:firstLineChars="200"/>
        <w:jc w:val="both"/>
        <w:rPr>
          <w:rFonts w:hint="eastAsia" w:ascii="仿宋_GB2312" w:hAnsi="仿宋_GB2312" w:eastAsia="仿宋_GB2312" w:cs="仿宋_GB2312"/>
          <w:b/>
          <w:bCs/>
          <w:color w:val="000000"/>
          <w:sz w:val="24"/>
          <w:lang w:val="en-US" w:eastAsia="zh-CN"/>
        </w:rPr>
      </w:pPr>
      <w:r>
        <w:rPr>
          <w:rFonts w:hint="eastAsia" w:ascii="仿宋_GB2312" w:hAnsi="仿宋_GB2312" w:eastAsia="仿宋_GB2312" w:cs="仿宋_GB2312"/>
          <w:b/>
          <w:bCs/>
          <w:color w:val="000000"/>
          <w:sz w:val="24"/>
          <w:lang w:val="en-US" w:eastAsia="zh-CN"/>
        </w:rPr>
        <w:t>7.质量检测（2周）</w:t>
      </w:r>
    </w:p>
    <w:p w14:paraId="328225F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【基本知识】</w:t>
      </w:r>
    </w:p>
    <w:p w14:paraId="7B4DE2A3">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（1）熟悉固定义齿、种植义齿、保持器等不同义齿产品的质量标准。</w:t>
      </w:r>
    </w:p>
    <w:p w14:paraId="2859DAA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（2）掌握质量检测设备的使用方法和维护要点。</w:t>
      </w:r>
    </w:p>
    <w:p w14:paraId="67C7CA6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（3）了解义齿质量问题的常见类型和原因。</w:t>
      </w:r>
    </w:p>
    <w:p w14:paraId="71869FD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（4）知晓质量管理体系的基本要求。</w:t>
      </w:r>
    </w:p>
    <w:p w14:paraId="595F707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（5）学习质量问题的处理和改进方法。</w:t>
      </w:r>
    </w:p>
    <w:p w14:paraId="480490E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【基本技能】</w:t>
      </w:r>
    </w:p>
    <w:p w14:paraId="734085B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（1）熟练使用质量检测设备对不同义齿产品进行检测。</w:t>
      </w:r>
    </w:p>
    <w:p w14:paraId="6CD1A8F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（2）准确判断义齿质量是否符合标准。</w:t>
      </w:r>
    </w:p>
    <w:p w14:paraId="274ABE9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（3）对质量问题提出合理的改进建议。</w:t>
      </w:r>
    </w:p>
    <w:p w14:paraId="0062F6A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（4）记录和整理质量检测数据，为质量管理提供依据。</w:t>
      </w:r>
    </w:p>
    <w:p w14:paraId="6BF3FB2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（5）协助企业完善质量管理体系。</w:t>
      </w:r>
    </w:p>
    <w:p w14:paraId="01B57BD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【基本素质】</w:t>
      </w:r>
    </w:p>
    <w:p w14:paraId="4F2101DC">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（1）坚持原则，严格按照质量标准进行检测，确保义齿产品的质量。</w:t>
      </w:r>
    </w:p>
    <w:p w14:paraId="1ACCC89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（2）具备敏锐的观察力和判断力，能够准确发现义齿产品中的质量问题。</w:t>
      </w:r>
    </w:p>
    <w:p w14:paraId="75F138CA">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（3）培养责任心，对患者的健康负责，不放过任何一个质量隐患。</w:t>
      </w:r>
    </w:p>
    <w:p w14:paraId="1D5FD96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（4）提高学习能力，不断更新质量检测知识和方法，提升检测水平。</w:t>
      </w:r>
    </w:p>
    <w:p w14:paraId="4F10EE16">
      <w:pPr>
        <w:spacing w:line="360" w:lineRule="auto"/>
        <w:ind w:firstLine="482" w:firstLineChars="200"/>
        <w:jc w:val="both"/>
        <w:rPr>
          <w:rFonts w:hint="default" w:ascii="仿宋_GB2312" w:hAnsi="仿宋_GB2312" w:eastAsia="仿宋_GB2312" w:cs="仿宋_GB2312"/>
          <w:b/>
          <w:color w:val="000000"/>
          <w:sz w:val="24"/>
          <w:szCs w:val="28"/>
          <w:lang w:val="en-US" w:eastAsia="zh-CN"/>
        </w:rPr>
      </w:pPr>
      <w:r>
        <w:rPr>
          <w:rFonts w:hint="eastAsia" w:ascii="仿宋_GB2312" w:hAnsi="仿宋_GB2312" w:eastAsia="仿宋_GB2312" w:cs="仿宋_GB2312"/>
          <w:b/>
          <w:color w:val="000000"/>
          <w:sz w:val="24"/>
          <w:szCs w:val="28"/>
          <w:lang w:val="en-US" w:eastAsia="zh-CN"/>
        </w:rPr>
        <w:t>（二）其他部门</w:t>
      </w:r>
    </w:p>
    <w:p w14:paraId="4D4AD06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实习时间：共36周</w:t>
      </w:r>
    </w:p>
    <w:p w14:paraId="1A264BD6">
      <w:pPr>
        <w:spacing w:line="360" w:lineRule="auto"/>
        <w:ind w:firstLine="480" w:firstLineChars="20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在其他有关口腔医学技术相关部门实习的要求能够参照以上执行。</w:t>
      </w:r>
    </w:p>
    <w:p w14:paraId="2F9E1B92">
      <w:pPr>
        <w:keepNext/>
        <w:keepLines/>
        <w:spacing w:line="360" w:lineRule="auto"/>
        <w:ind w:firstLine="562" w:firstLineChars="200"/>
        <w:jc w:val="both"/>
        <w:rPr>
          <w:rFonts w:hint="eastAsia" w:ascii="仿宋_GB2312" w:hAnsi="仿宋_GB2312" w:eastAsia="仿宋_GB2312" w:cs="仿宋_GB2312"/>
          <w:b/>
          <w:sz w:val="28"/>
          <w:szCs w:val="36"/>
          <w:lang w:val="en-US" w:eastAsia="zh-CN"/>
        </w:rPr>
      </w:pPr>
      <w:r>
        <w:rPr>
          <w:rFonts w:hint="eastAsia" w:ascii="仿宋_GB2312" w:hAnsi="仿宋_GB2312" w:eastAsia="仿宋_GB2312" w:cs="仿宋_GB2312"/>
          <w:b/>
          <w:sz w:val="28"/>
          <w:szCs w:val="36"/>
          <w:lang w:val="en-US" w:eastAsia="zh-CN"/>
        </w:rPr>
        <w:t>四、实习组织领导与管理</w:t>
      </w:r>
    </w:p>
    <w:p w14:paraId="507847C9">
      <w:pPr>
        <w:spacing w:line="360" w:lineRule="auto"/>
        <w:ind w:firstLine="482" w:firstLineChars="200"/>
        <w:jc w:val="both"/>
        <w:rPr>
          <w:rFonts w:hint="eastAsia" w:ascii="仿宋_GB2312" w:hAnsi="仿宋_GB2312" w:eastAsia="仿宋_GB2312" w:cs="仿宋_GB2312"/>
          <w:b/>
          <w:color w:val="000000"/>
          <w:sz w:val="24"/>
          <w:szCs w:val="28"/>
        </w:rPr>
      </w:pPr>
      <w:r>
        <w:rPr>
          <w:rFonts w:hint="eastAsia" w:ascii="仿宋_GB2312" w:hAnsi="仿宋_GB2312" w:eastAsia="仿宋_GB2312" w:cs="仿宋_GB2312"/>
          <w:b/>
          <w:color w:val="000000"/>
          <w:sz w:val="24"/>
          <w:szCs w:val="28"/>
        </w:rPr>
        <w:t>(一)组织领导</w:t>
      </w:r>
    </w:p>
    <w:p w14:paraId="5A27616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成立卫生健康学院口腔医学技术专业实习工作领导小组，全面负责实习工作的组织、协调、指导与监督。具体成员及职责如下：</w:t>
      </w:r>
    </w:p>
    <w:p w14:paraId="7219FA8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组长：由卫生健康学院院长担任，全面统筹实习工作。制定实习工作的整体战略和方向，协调学校与实习单位之间的重要事务，保障实习工作顺利开展；对实习过程中的重大问题进行决策，如实习单位的选择、实习计划的调整等；与学校其他部门沟通协作，争取各方资源支持实习工作。</w:t>
      </w:r>
    </w:p>
    <w:p w14:paraId="25F1CA4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副组长：分管教学科研工作和学工党群工作的两位副院长担任副组长，协助组长开展工作，教学科研副院长统筹学生岗位实习期间的教学管理工作，学工党群副院长负责学生岗位实习期间的思想政治工作以及学生的安全。具体负责实习教学计划的制定与落实，监督实习教学质量；组织开展实习动员大会、实习总结大会等活动，向学生和教师传达实习工作的要求和注意事项；定期检查实习工作进展情况，及时发现并解决实习过程中出现的教学相关问题。</w:t>
      </w:r>
    </w:p>
    <w:p w14:paraId="1FCD3D25">
      <w:pPr>
        <w:spacing w:line="360" w:lineRule="auto"/>
        <w:ind w:firstLine="480" w:firstLineChars="200"/>
        <w:jc w:val="both"/>
        <w:rPr>
          <w:rFonts w:hint="eastAsia" w:ascii="仿宋_GB2312" w:hAnsi="仿宋_GB2312" w:eastAsia="仿宋_GB2312" w:cs="仿宋_GB2312"/>
          <w:color w:val="000000"/>
          <w:sz w:val="24"/>
          <w:lang w:val="en-US" w:eastAsia="zh-CN"/>
        </w:rPr>
      </w:pPr>
    </w:p>
    <w:p w14:paraId="478FC54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教研室主任：负责实习内容和要求的制定。根据专业培养目标和行业需求，明确各实习岗位的知识、技能和素质要求；组织编写实习指导书，为学生和教师提供详细的实习指导；参与实习单位的筛选和评估，确保实习单位能满足专业实习需求；指导实习教师开展教学工作，对实习教学效果进行评估和反馈。</w:t>
      </w:r>
    </w:p>
    <w:p w14:paraId="5E2A073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实习单位联系人：负责与实习单位建立长期稳定的合作关系。拓展实习基地，积极寻找符合专业实习要求的义齿加工企业、各级各类医疗机构等；与实习单位洽谈实习合作事宜，签订实习协议，明确双方的权利和义务；定期走访实习单位，了解实习单位的需求和意见，促进校企深度合作，共同提高人才培养质量。</w:t>
      </w:r>
    </w:p>
    <w:p w14:paraId="27D888E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成员：由口腔医学技术专业校内指导教师、企业导师、辅导员组成。校内指导教师主要负责校内实习指导工作，包括组织学生学习实习相关规定、指导学生进行实习准备、解答学生在实习过程中的专业问题等；企业导师则负责在实习单位对学生进行现场指导，传授实际工作经验和技能，培养学生的职业素养和实践能力；辅导员负责具体的学生岗位实习思想政治工作、学生安全。</w:t>
      </w:r>
    </w:p>
    <w:p w14:paraId="040F2D9A">
      <w:pPr>
        <w:spacing w:line="360" w:lineRule="auto"/>
        <w:ind w:firstLine="482" w:firstLineChars="200"/>
        <w:jc w:val="both"/>
        <w:rPr>
          <w:rFonts w:hint="eastAsia" w:ascii="仿宋_GB2312" w:hAnsi="仿宋_GB2312" w:eastAsia="仿宋_GB2312" w:cs="仿宋_GB2312"/>
          <w:b/>
          <w:color w:val="000000"/>
          <w:sz w:val="24"/>
          <w:szCs w:val="28"/>
        </w:rPr>
      </w:pPr>
      <w:r>
        <w:rPr>
          <w:rFonts w:hint="eastAsia" w:ascii="仿宋_GB2312" w:hAnsi="仿宋_GB2312" w:eastAsia="仿宋_GB2312" w:cs="仿宋_GB2312"/>
          <w:b/>
          <w:color w:val="000000"/>
          <w:sz w:val="24"/>
          <w:szCs w:val="28"/>
        </w:rPr>
        <w:t>(二)实习教师要求</w:t>
      </w:r>
    </w:p>
    <w:p w14:paraId="55EF752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1.校内指导老师：采取专任教师、兼职教师整班制方式开展岗位实习指导。</w:t>
      </w:r>
    </w:p>
    <w:p w14:paraId="58C1DC1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指导教师须组织学生学习《岗位实习平台学生移动端操作指南》，督促学生在实习管理平台按时填写实习信息、实习材料上传（法定监护人（或家长）知情同意书、三方协议等）、实习平台签到、实习周报、实习月报、实习报告、成绩鉴定、实习评价等，并按照要求及时批阅、考核。配合企业做好学生的部门或岗位轮换，及时解答学生在岗位实习过程中遇到的学业、生活、安全等问题。</w:t>
      </w:r>
    </w:p>
    <w:p w14:paraId="0FF2260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（2）指导学生在岗位实习前签订三方协议，以及《法定监护人（或家长）知情同意书》《学生岗位实习承诺书》《自主联系申请表》等（须确保100%签订）。</w:t>
      </w:r>
    </w:p>
    <w:p w14:paraId="0CD392C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认真执行岗位实习计划，做好检查、指导、调整及跟踪调查等工作，保证岗位实习质量。如在实习过程中学生实习单位、实习岗位发生变化，指导老师需及时上报给学院负责人。每月15、30日前如实、规范填写《学生岗位实习管理台账》。</w:t>
      </w:r>
    </w:p>
    <w:p w14:paraId="11461D0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实施指导与就业服务“一岗双责”，协同辅导员做好学生的就业帮扶工作。在实习转就业阶段，继续跟进指导学生岗位实习工作，直到学生毕业离校。在校企办的指导下协助开展困难生就业帮扶、就业数据上报等工作。</w:t>
      </w:r>
    </w:p>
    <w:p w14:paraId="025E9A2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主动与企业导师、辅导员合作，定期到实习单位巡视指导，做好下企业巡视指导的工作记录，做好学生思想政治与法制安全教育，掌握学生在岗实习动态，及时发现、处理和报告岗位实习出现的各类突发或应急问题。</w:t>
      </w:r>
    </w:p>
    <w:p w14:paraId="1938973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（6）加强与学生实习企业联系，共同商讨人才培养、专业建设、科学研究等方面协同合作的可行性，促进产学研共建与深度融合。</w:t>
      </w:r>
    </w:p>
    <w:p w14:paraId="5600DE79">
      <w:pPr>
        <w:spacing w:line="360" w:lineRule="auto"/>
        <w:ind w:firstLine="480" w:firstLineChars="200"/>
        <w:jc w:val="both"/>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2.实习基地指导教师</w:t>
      </w:r>
    </w:p>
    <w:p w14:paraId="5C3B93B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（1）带教教师资格:本专业毕业，具有2年以上工作经验或具有口腔医学技术专业职称。</w:t>
      </w:r>
    </w:p>
    <w:p w14:paraId="5594705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（2）毕业实习实行带教教师负责制，每一位带教教师应对实习阶段的全部教学活动负责。应根据实习指导书要求，结合临床实践，制订具体的教学实施计划，并认真实行，切实落实对学生实践能力的培养。</w:t>
      </w:r>
    </w:p>
    <w:p w14:paraId="66A2A2B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（3）对学生进行德育教育，重点是职业道德教育，培养学生良好的职业道德和全心全意为病人服务的思想，增强学生的责任感和同理心，树立正确人生观、世界观、价值观。</w:t>
      </w:r>
    </w:p>
    <w:p w14:paraId="1D6CA455">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带教老师应尽量了解学生的情况，因材施教，重点培养实习学生的思维能力、独立分析问题、解决问题的能力、创新能力、严谨的工作作风以及慎独精神，充分调动学生的学习积极性，不断提升学生的内在修养。</w:t>
      </w:r>
    </w:p>
    <w:p w14:paraId="1C1890A1">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对学生的口腔医学技术技能操作应悉心指导、严格要求，使学生循序渐进地适应药学工作，熟练掌握口腔医学技术各项操作技术。人文素养方面，重点培养和提高学生的系统化整体护理水平，在熟练掌握各种基本操作的同时，培养学生的综合分析能力。</w:t>
      </w:r>
    </w:p>
    <w:p w14:paraId="55733524">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3.辅导员：按学校现行规定配备带班辅导员。</w:t>
      </w:r>
    </w:p>
    <w:p w14:paraId="3C3EDDC7">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（1）积极做好学生岗位实习的组织工作，协助指导老师组织学生签订三方协议，以及《法定监护人（或家长）知情同意书》《学生岗位实习承诺书》《自主联系申请表》等（须确保100%签订）。</w:t>
      </w:r>
    </w:p>
    <w:p w14:paraId="14995C80">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（2）全面做好所带班级学生的注册、缴费、毕业信息采集、四六级考试、补考等工作。</w:t>
      </w:r>
    </w:p>
    <w:p w14:paraId="5B1C72F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负责所带班级学生的政治思想、安全管理、职业指导、就业服务、心理咨询、生活指导等工作，及时掌握学生思想动态。与企业导师、专业导师共同做好学生的安全教育管理工作，及时发现、处理和报告出现的各种问题，杜绝学生人身安全事故发生。</w:t>
      </w:r>
    </w:p>
    <w:p w14:paraId="56A25D3E">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（4）做好学生奖（助）学金发放、助学贷款、评优评先、毕业档案整理等工作。</w:t>
      </w:r>
    </w:p>
    <w:p w14:paraId="423CBF2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（5）按照学生发展部、二级学院的要求做好学生相关资料的收集、汇总、整理、归档等工作。</w:t>
      </w:r>
    </w:p>
    <w:p w14:paraId="14B4EF0D">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（6）定期走访校内学生、巡视校外学生，及时了解学生的学习、生活状态。有特殊情况的学生，必须第一时间上报、指导老师、二级学院。</w:t>
      </w:r>
    </w:p>
    <w:p w14:paraId="1A903519">
      <w:pPr>
        <w:spacing w:line="360" w:lineRule="auto"/>
        <w:ind w:firstLine="480" w:firstLineChars="200"/>
        <w:jc w:val="both"/>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（三）实习学生要求</w:t>
      </w:r>
    </w:p>
    <w:p w14:paraId="6979BB5B">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岗位实习学生具有双重身份（学生、准员工）。具体要求如下：</w:t>
      </w:r>
    </w:p>
    <w:p w14:paraId="11A7C7C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1.按照实习岗位的工作任务、岗位特点，妥善安排好个人的学习、实习和生活。在岗位实习期间，要强化职业道德意识、爱岗敬业、遵纪守法，做一名诚实守信和文明礼貌的实习生。</w:t>
      </w:r>
    </w:p>
    <w:p w14:paraId="611ECED2">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2.牢记“安全第一”，严格遵守安全管理规定，遵守交通规则，避免安全事故发生。</w:t>
      </w:r>
    </w:p>
    <w:p w14:paraId="6A7B69FF">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及时在岗位实习信息化管理平台如实填写个人实习基本信息、签到、周报、月报、实习总结，及时上传《三方协议》《法定监护人（或家长）知情同意书》《学生岗位实习承诺书》《自主联系申请表》等佐证材料。岗位实习管理平台：用户在微信小程序直接输入“博行实习管理平台学生版”搜索小程序登录，学生账号由学校管理员在后台统一添加，无需自行注册。</w:t>
      </w:r>
    </w:p>
    <w:p w14:paraId="521BA8A6">
      <w:pPr>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4.遵守学校的实习要求和实习单位的规章制度、实习纪律及实习协议，爱护实习单位设施设备，完成规定的实习任务，撰写实习周报、月报，并在实习结束时提交实习报告。</w:t>
      </w:r>
    </w:p>
    <w:p w14:paraId="151EC9D9">
      <w:pPr>
        <w:spacing w:line="360" w:lineRule="auto"/>
        <w:ind w:firstLine="480" w:firstLineChars="200"/>
        <w:jc w:val="both"/>
        <w:rPr>
          <w:rFonts w:hint="eastAsia" w:ascii="仿宋_GB2312" w:hAnsi="仿宋_GB2312" w:eastAsia="仿宋_GB2312" w:cs="仿宋_GB2312"/>
          <w:b/>
          <w:sz w:val="28"/>
          <w:szCs w:val="36"/>
          <w:lang w:val="en-US" w:eastAsia="zh-CN"/>
        </w:rPr>
      </w:pPr>
      <w:r>
        <w:rPr>
          <w:rFonts w:hint="eastAsia" w:ascii="仿宋_GB2312" w:hAnsi="仿宋_GB2312" w:eastAsia="仿宋_GB2312" w:cs="仿宋_GB2312"/>
          <w:color w:val="000000"/>
          <w:sz w:val="24"/>
          <w:lang w:val="en-US" w:eastAsia="zh-CN"/>
        </w:rPr>
        <w:t>5.对于违反规章制度、实习纪律、实习考勤等学生，将依照校规校纪和有关实习管理规定进行处理。学生违规情节严重的，由学校给予纪律处分。给实习单位造成财产损失的，依法承担相应责任。</w:t>
      </w:r>
    </w:p>
    <w:p w14:paraId="202ECC76">
      <w:pPr>
        <w:keepNext/>
        <w:keepLines/>
        <w:spacing w:line="360" w:lineRule="auto"/>
        <w:ind w:firstLine="562" w:firstLineChars="200"/>
        <w:jc w:val="both"/>
        <w:rPr>
          <w:rFonts w:hint="eastAsia" w:ascii="仿宋_GB2312" w:hAnsi="仿宋_GB2312" w:eastAsia="仿宋_GB2312" w:cs="仿宋_GB2312"/>
          <w:b/>
          <w:sz w:val="28"/>
          <w:szCs w:val="36"/>
        </w:rPr>
      </w:pPr>
      <w:r>
        <w:rPr>
          <w:rFonts w:hint="eastAsia" w:ascii="仿宋_GB2312" w:hAnsi="仿宋_GB2312" w:eastAsia="仿宋_GB2312" w:cs="仿宋_GB2312"/>
          <w:b/>
          <w:sz w:val="28"/>
          <w:szCs w:val="36"/>
          <w:lang w:val="en-US" w:eastAsia="zh-CN"/>
        </w:rPr>
        <w:t>五、</w:t>
      </w:r>
      <w:r>
        <w:rPr>
          <w:rFonts w:hint="eastAsia" w:ascii="仿宋_GB2312" w:hAnsi="仿宋_GB2312" w:eastAsia="仿宋_GB2312" w:cs="仿宋_GB2312"/>
          <w:b/>
          <w:sz w:val="28"/>
          <w:szCs w:val="36"/>
        </w:rPr>
        <w:t>实习成果</w:t>
      </w:r>
    </w:p>
    <w:p w14:paraId="3FEAB5D0">
      <w:pPr>
        <w:spacing w:line="360" w:lineRule="auto"/>
        <w:ind w:firstLine="480" w:firstLineChars="200"/>
        <w:jc w:val="both"/>
        <w:rPr>
          <w:rFonts w:hint="eastAsia" w:ascii="仿宋_GB2312" w:hAnsi="仿宋_GB2312" w:eastAsia="仿宋_GB2312" w:cs="仿宋_GB2312"/>
          <w:b w:val="0"/>
          <w:bCs w:val="0"/>
          <w:color w:val="000000"/>
          <w:sz w:val="24"/>
        </w:rPr>
      </w:pPr>
      <w:r>
        <w:rPr>
          <w:rFonts w:hint="eastAsia" w:ascii="仿宋_GB2312" w:hAnsi="仿宋_GB2312" w:eastAsia="仿宋_GB2312" w:cs="仿宋_GB2312"/>
          <w:color w:val="000000"/>
          <w:sz w:val="24"/>
        </w:rPr>
        <w:t>学生在</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实习结束时应提交</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实习行业证明材料，须提交以下成果</w:t>
      </w:r>
      <w:r>
        <w:rPr>
          <w:rFonts w:hint="eastAsia" w:ascii="仿宋_GB2312" w:hAnsi="仿宋_GB2312" w:eastAsia="仿宋_GB2312" w:cs="仿宋_GB2312"/>
          <w:color w:val="000000"/>
          <w:sz w:val="24"/>
          <w:lang w:val="en-US" w:eastAsia="zh-CN"/>
        </w:rPr>
        <w:t>之一</w:t>
      </w:r>
      <w:r>
        <w:rPr>
          <w:rFonts w:hint="eastAsia" w:ascii="仿宋_GB2312" w:hAnsi="仿宋_GB2312" w:eastAsia="仿宋_GB2312" w:cs="仿宋_GB2312"/>
          <w:b w:val="0"/>
          <w:bCs w:val="0"/>
          <w:color w:val="000000"/>
          <w:sz w:val="24"/>
        </w:rPr>
        <w:t>：</w:t>
      </w:r>
    </w:p>
    <w:p w14:paraId="607C52F0">
      <w:pPr>
        <w:spacing w:line="360" w:lineRule="auto"/>
        <w:ind w:firstLine="480" w:firstLineChars="20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（一）</w:t>
      </w:r>
      <w:r>
        <w:rPr>
          <w:rFonts w:hint="eastAsia" w:ascii="仿宋_GB2312" w:hAnsi="仿宋_GB2312" w:eastAsia="仿宋_GB2312" w:cs="仿宋_GB2312"/>
          <w:color w:val="000000"/>
          <w:sz w:val="24"/>
          <w:lang w:val="en-US" w:eastAsia="zh-Hans"/>
        </w:rPr>
        <w:t>岗位</w:t>
      </w:r>
      <w:r>
        <w:rPr>
          <w:rFonts w:hint="eastAsia" w:ascii="仿宋_GB2312" w:hAnsi="仿宋_GB2312" w:eastAsia="仿宋_GB2312" w:cs="仿宋_GB2312"/>
          <w:color w:val="000000"/>
          <w:sz w:val="24"/>
        </w:rPr>
        <w:t>实习总结报告一篇</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字数不少于2000字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w:t>
      </w:r>
    </w:p>
    <w:p w14:paraId="323FCC57">
      <w:pPr>
        <w:spacing w:line="360" w:lineRule="auto"/>
        <w:ind w:firstLine="480" w:firstLineChars="200"/>
        <w:jc w:val="both"/>
        <w:rPr>
          <w:rFonts w:hint="eastAsia" w:ascii="仿宋_GB2312" w:hAnsi="仿宋_GB2312" w:eastAsia="仿宋_GB2312" w:cs="仿宋_GB2312"/>
          <w:b w:val="0"/>
          <w:bCs w:val="0"/>
          <w:color w:val="000000"/>
          <w:sz w:val="24"/>
          <w:lang w:eastAsia="zh-CN"/>
        </w:rPr>
      </w:pPr>
      <w:r>
        <w:rPr>
          <w:rFonts w:hint="eastAsia" w:ascii="仿宋_GB2312" w:hAnsi="仿宋_GB2312" w:eastAsia="仿宋_GB2312" w:cs="仿宋_GB2312"/>
          <w:color w:val="000000"/>
          <w:sz w:val="24"/>
          <w:lang w:val="en-US" w:eastAsia="zh-CN"/>
        </w:rPr>
        <w:t>（二）</w:t>
      </w:r>
      <w:r>
        <w:rPr>
          <w:rFonts w:hint="eastAsia" w:ascii="仿宋_GB2312" w:hAnsi="仿宋_GB2312" w:eastAsia="仿宋_GB2312" w:cs="仿宋_GB2312"/>
          <w:color w:val="000000"/>
          <w:sz w:val="24"/>
        </w:rPr>
        <w:t>实习期间形成的毕业论文</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字数不少于2000字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w:t>
      </w:r>
    </w:p>
    <w:p w14:paraId="37A6808A">
      <w:pPr>
        <w:keepNext/>
        <w:keepLines/>
        <w:spacing w:line="360" w:lineRule="auto"/>
        <w:ind w:firstLine="562" w:firstLineChars="200"/>
        <w:jc w:val="both"/>
        <w:rPr>
          <w:rFonts w:hint="eastAsia" w:ascii="仿宋_GB2312" w:hAnsi="仿宋_GB2312" w:eastAsia="仿宋_GB2312" w:cs="仿宋_GB2312"/>
          <w:b/>
          <w:sz w:val="28"/>
          <w:szCs w:val="36"/>
        </w:rPr>
      </w:pPr>
      <w:r>
        <w:rPr>
          <w:rFonts w:hint="eastAsia" w:ascii="仿宋_GB2312" w:hAnsi="仿宋_GB2312" w:eastAsia="仿宋_GB2312" w:cs="仿宋_GB2312"/>
          <w:b/>
          <w:sz w:val="28"/>
          <w:szCs w:val="36"/>
          <w:lang w:val="en-US" w:eastAsia="zh-CN"/>
        </w:rPr>
        <w:t>六、</w:t>
      </w:r>
      <w:r>
        <w:rPr>
          <w:rFonts w:hint="eastAsia" w:ascii="仿宋_GB2312" w:hAnsi="仿宋_GB2312" w:eastAsia="仿宋_GB2312" w:cs="仿宋_GB2312"/>
          <w:b/>
          <w:sz w:val="28"/>
          <w:szCs w:val="36"/>
        </w:rPr>
        <w:t>考核评价</w:t>
      </w:r>
    </w:p>
    <w:p w14:paraId="2F94AD8D">
      <w:pPr>
        <w:spacing w:line="360" w:lineRule="auto"/>
        <w:ind w:firstLine="482" w:firstLineChars="200"/>
        <w:jc w:val="both"/>
        <w:rPr>
          <w:rFonts w:hint="eastAsia" w:ascii="仿宋_GB2312" w:hAnsi="仿宋_GB2312" w:eastAsia="仿宋_GB2312" w:cs="仿宋_GB2312"/>
          <w:b/>
          <w:color w:val="000000"/>
          <w:sz w:val="24"/>
          <w:szCs w:val="28"/>
        </w:rPr>
      </w:pPr>
      <w:r>
        <w:rPr>
          <w:rFonts w:hint="eastAsia" w:ascii="仿宋_GB2312" w:hAnsi="仿宋_GB2312" w:eastAsia="仿宋_GB2312" w:cs="仿宋_GB2312"/>
          <w:b/>
          <w:color w:val="000000"/>
          <w:sz w:val="24"/>
          <w:szCs w:val="28"/>
          <w:lang w:eastAsia="zh-CN"/>
        </w:rPr>
        <w:t>（</w:t>
      </w:r>
      <w:r>
        <w:rPr>
          <w:rFonts w:hint="eastAsia" w:ascii="仿宋_GB2312" w:hAnsi="仿宋_GB2312" w:eastAsia="仿宋_GB2312" w:cs="仿宋_GB2312"/>
          <w:b/>
          <w:color w:val="000000"/>
          <w:sz w:val="24"/>
          <w:szCs w:val="28"/>
          <w:lang w:val="en-US" w:eastAsia="zh-CN"/>
        </w:rPr>
        <w:t>一</w:t>
      </w:r>
      <w:r>
        <w:rPr>
          <w:rFonts w:hint="eastAsia" w:ascii="仿宋_GB2312" w:hAnsi="仿宋_GB2312" w:eastAsia="仿宋_GB2312" w:cs="仿宋_GB2312"/>
          <w:b/>
          <w:color w:val="000000"/>
          <w:sz w:val="24"/>
          <w:szCs w:val="28"/>
          <w:lang w:eastAsia="zh-CN"/>
        </w:rPr>
        <w:t>）</w:t>
      </w:r>
      <w:r>
        <w:rPr>
          <w:rFonts w:hint="eastAsia" w:ascii="仿宋_GB2312" w:hAnsi="仿宋_GB2312" w:eastAsia="仿宋_GB2312" w:cs="仿宋_GB2312"/>
          <w:b/>
          <w:color w:val="000000"/>
          <w:sz w:val="24"/>
          <w:szCs w:val="28"/>
        </w:rPr>
        <w:t>考核内容</w:t>
      </w:r>
    </w:p>
    <w:p w14:paraId="1CD171B9">
      <w:pPr>
        <w:keepNext/>
        <w:keepLines/>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指导老师根据学生在实习中的组织纪律、业务学习态度、实习调查报告情况，对每个学生进行实习考核考核分为平时考勤、实习态度和实习报告。</w:t>
      </w:r>
    </w:p>
    <w:p w14:paraId="6AA9D10C">
      <w:pPr>
        <w:spacing w:line="360" w:lineRule="auto"/>
        <w:ind w:firstLine="482" w:firstLineChars="200"/>
        <w:jc w:val="both"/>
        <w:rPr>
          <w:rFonts w:hint="eastAsia" w:ascii="仿宋_GB2312" w:hAnsi="仿宋_GB2312" w:eastAsia="仿宋_GB2312" w:cs="仿宋_GB2312"/>
          <w:b/>
          <w:color w:val="000000"/>
          <w:sz w:val="24"/>
          <w:szCs w:val="28"/>
        </w:rPr>
      </w:pPr>
      <w:r>
        <w:rPr>
          <w:rFonts w:hint="eastAsia" w:ascii="仿宋_GB2312" w:hAnsi="仿宋_GB2312" w:eastAsia="仿宋_GB2312" w:cs="仿宋_GB2312"/>
          <w:b/>
          <w:color w:val="000000"/>
          <w:sz w:val="24"/>
          <w:szCs w:val="28"/>
          <w:lang w:val="en-US" w:eastAsia="zh-CN"/>
        </w:rPr>
        <w:t>（二）</w:t>
      </w:r>
      <w:r>
        <w:rPr>
          <w:rFonts w:hint="eastAsia" w:ascii="仿宋_GB2312" w:hAnsi="仿宋_GB2312" w:eastAsia="仿宋_GB2312" w:cs="仿宋_GB2312"/>
          <w:b/>
          <w:color w:val="000000"/>
          <w:sz w:val="24"/>
          <w:szCs w:val="28"/>
        </w:rPr>
        <w:t>考核形式</w:t>
      </w:r>
    </w:p>
    <w:p w14:paraId="596941F8">
      <w:pPr>
        <w:keepNext/>
        <w:keepLines/>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 xml:space="preserve">1．实习考核须在学生完成全部实习任务后方可进行。 </w:t>
      </w:r>
    </w:p>
    <w:p w14:paraId="2B8A2EA6">
      <w:pPr>
        <w:keepNext/>
        <w:keepLines/>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2．实习考核可包括笔试、口试（含小型答辩）、现场操作、设计、实习报告等形式，由指导教师根据实习教学大纲的要求以及学生完成实习的整体情况进行评分。</w:t>
      </w:r>
    </w:p>
    <w:p w14:paraId="0CC56234">
      <w:pPr>
        <w:keepNext/>
        <w:keepLines/>
        <w:spacing w:line="360" w:lineRule="auto"/>
        <w:ind w:firstLine="480" w:firstLineChars="200"/>
        <w:jc w:val="both"/>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3.实习成绩构成：包括实习单位评分（占40%）+学院实习考核评分（占60%）；</w:t>
      </w:r>
    </w:p>
    <w:p w14:paraId="5DD4714B">
      <w:pPr>
        <w:keepNext/>
        <w:keepLines/>
        <w:spacing w:line="360" w:lineRule="auto"/>
        <w:ind w:firstLine="480" w:firstLineChars="20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实习学时数：360学时，26学分</w:t>
      </w:r>
    </w:p>
    <w:p w14:paraId="5EA2D535">
      <w:pPr>
        <w:spacing w:line="360" w:lineRule="auto"/>
        <w:ind w:firstLine="482" w:firstLineChars="200"/>
        <w:jc w:val="both"/>
        <w:rPr>
          <w:rFonts w:hint="eastAsia" w:ascii="仿宋_GB2312" w:hAnsi="仿宋_GB2312" w:eastAsia="仿宋_GB2312" w:cs="仿宋_GB2312"/>
          <w:b/>
          <w:color w:val="000000"/>
          <w:sz w:val="24"/>
          <w:szCs w:val="28"/>
        </w:rPr>
      </w:pPr>
      <w:r>
        <w:rPr>
          <w:rFonts w:hint="eastAsia" w:ascii="仿宋_GB2312" w:hAnsi="仿宋_GB2312" w:eastAsia="仿宋_GB2312" w:cs="仿宋_GB2312"/>
          <w:b/>
          <w:color w:val="000000"/>
          <w:sz w:val="24"/>
          <w:szCs w:val="28"/>
          <w:lang w:val="en-US" w:eastAsia="zh-CN"/>
        </w:rPr>
        <w:t>（三）</w:t>
      </w:r>
      <w:r>
        <w:rPr>
          <w:rFonts w:hint="eastAsia" w:ascii="仿宋_GB2312" w:hAnsi="仿宋_GB2312" w:eastAsia="仿宋_GB2312" w:cs="仿宋_GB2312"/>
          <w:b/>
          <w:color w:val="000000"/>
          <w:sz w:val="24"/>
          <w:szCs w:val="28"/>
        </w:rPr>
        <w:t>考核组织</w:t>
      </w:r>
    </w:p>
    <w:p w14:paraId="04AC5D39">
      <w:pPr>
        <w:spacing w:line="360" w:lineRule="auto"/>
        <w:ind w:firstLine="480" w:firstLineChars="200"/>
        <w:jc w:val="both"/>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按《广州华南商贸职业学院企业实践教学岗位实习学生手册》中的《广州华南商贸职业学院学生岗位实习评价》实施。</w:t>
      </w:r>
    </w:p>
    <w:p w14:paraId="1DD7028A">
      <w:pPr>
        <w:jc w:val="both"/>
        <w:rPr>
          <w:rFonts w:hint="default" w:ascii="方正小标宋简体" w:eastAsia="方正小标宋简体" w:cs="宋体"/>
          <w:b/>
          <w:bCs/>
          <w:sz w:val="36"/>
          <w:szCs w:val="36"/>
          <w:lang w:val="en-US" w:eastAsia="zh-CN"/>
        </w:rPr>
      </w:pPr>
    </w:p>
    <w:sectPr>
      <w:headerReference r:id="rId6" w:type="default"/>
      <w:footerReference r:id="rId7" w:type="default"/>
      <w:pgSz w:w="11910" w:h="16840"/>
      <w:pgMar w:top="1460" w:right="1160" w:bottom="1160" w:left="1580"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1" w:fontKey="{7D012F4A-D379-4C43-A9FF-01DBCF9D83FB}"/>
  </w:font>
  <w:font w:name="仿宋_GB2312">
    <w:panose1 w:val="02010609030101010101"/>
    <w:charset w:val="86"/>
    <w:family w:val="modern"/>
    <w:pitch w:val="default"/>
    <w:sig w:usb0="00000001" w:usb1="080E0000" w:usb2="00000000" w:usb3="00000000" w:csb0="00040000" w:csb1="00000000"/>
    <w:embedRegular r:id="rId2" w:fontKey="{EBC7EF4B-CC70-42A2-BAD9-73491D2241C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632A4">
    <w:pPr>
      <w:pStyle w:val="7"/>
      <w:spacing w:line="14" w:lineRule="auto"/>
      <w:ind w:left="0"/>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575DB">
    <w:pPr>
      <w:pStyle w:val="7"/>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D541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yZjEzYzIyNmE3MDBiMzVmZDUwZGQ2Njg1NDllZjUifQ=="/>
  </w:docVars>
  <w:rsids>
    <w:rsidRoot w:val="00000000"/>
    <w:rsid w:val="02921B43"/>
    <w:rsid w:val="0353499A"/>
    <w:rsid w:val="039A5B00"/>
    <w:rsid w:val="04BD1B14"/>
    <w:rsid w:val="05815976"/>
    <w:rsid w:val="06481420"/>
    <w:rsid w:val="06B036DE"/>
    <w:rsid w:val="0775008D"/>
    <w:rsid w:val="0BCA3F28"/>
    <w:rsid w:val="0BE10AC9"/>
    <w:rsid w:val="0C072AB4"/>
    <w:rsid w:val="0DF26CD2"/>
    <w:rsid w:val="0EEF49A5"/>
    <w:rsid w:val="0FC0066A"/>
    <w:rsid w:val="10875725"/>
    <w:rsid w:val="127D2D6F"/>
    <w:rsid w:val="128A74D9"/>
    <w:rsid w:val="131B5995"/>
    <w:rsid w:val="13CD2233"/>
    <w:rsid w:val="14221993"/>
    <w:rsid w:val="14313ED4"/>
    <w:rsid w:val="14397842"/>
    <w:rsid w:val="149B378F"/>
    <w:rsid w:val="15C35726"/>
    <w:rsid w:val="16C6354B"/>
    <w:rsid w:val="17A71668"/>
    <w:rsid w:val="17E46368"/>
    <w:rsid w:val="17FF6C2B"/>
    <w:rsid w:val="186B0DED"/>
    <w:rsid w:val="19147E99"/>
    <w:rsid w:val="19A11BF6"/>
    <w:rsid w:val="19E264B8"/>
    <w:rsid w:val="1DCF5E73"/>
    <w:rsid w:val="1E3505F4"/>
    <w:rsid w:val="1F7155A1"/>
    <w:rsid w:val="21AA719D"/>
    <w:rsid w:val="227A7E04"/>
    <w:rsid w:val="2446522A"/>
    <w:rsid w:val="24597E78"/>
    <w:rsid w:val="24BD7EC4"/>
    <w:rsid w:val="25937F25"/>
    <w:rsid w:val="27536A11"/>
    <w:rsid w:val="275859A0"/>
    <w:rsid w:val="28866A60"/>
    <w:rsid w:val="28EA087A"/>
    <w:rsid w:val="29545648"/>
    <w:rsid w:val="298011DE"/>
    <w:rsid w:val="2A2E19F3"/>
    <w:rsid w:val="2BC5112A"/>
    <w:rsid w:val="2C5B58E7"/>
    <w:rsid w:val="2C7877B3"/>
    <w:rsid w:val="2DBE39B3"/>
    <w:rsid w:val="2F3E7229"/>
    <w:rsid w:val="2F510C7C"/>
    <w:rsid w:val="2FCE2CA3"/>
    <w:rsid w:val="303321F6"/>
    <w:rsid w:val="30EE1123"/>
    <w:rsid w:val="31882775"/>
    <w:rsid w:val="332B519D"/>
    <w:rsid w:val="33C61EE3"/>
    <w:rsid w:val="354D5A45"/>
    <w:rsid w:val="354E3242"/>
    <w:rsid w:val="35797A43"/>
    <w:rsid w:val="3640391E"/>
    <w:rsid w:val="36537DC9"/>
    <w:rsid w:val="36540A09"/>
    <w:rsid w:val="36E94228"/>
    <w:rsid w:val="36F766E8"/>
    <w:rsid w:val="3739632B"/>
    <w:rsid w:val="38037262"/>
    <w:rsid w:val="3943664E"/>
    <w:rsid w:val="3A0329B9"/>
    <w:rsid w:val="3AF410E4"/>
    <w:rsid w:val="3BBF2BBF"/>
    <w:rsid w:val="3C92581F"/>
    <w:rsid w:val="3D143DCE"/>
    <w:rsid w:val="3F5E3F13"/>
    <w:rsid w:val="3FA06FD8"/>
    <w:rsid w:val="405408F7"/>
    <w:rsid w:val="4164592A"/>
    <w:rsid w:val="425828A0"/>
    <w:rsid w:val="45C91E33"/>
    <w:rsid w:val="46781512"/>
    <w:rsid w:val="474D7358"/>
    <w:rsid w:val="47B269E2"/>
    <w:rsid w:val="498F1E2A"/>
    <w:rsid w:val="4B137BE2"/>
    <w:rsid w:val="4BDD1350"/>
    <w:rsid w:val="4EBA2249"/>
    <w:rsid w:val="50773A39"/>
    <w:rsid w:val="511B692C"/>
    <w:rsid w:val="52523649"/>
    <w:rsid w:val="52B7053E"/>
    <w:rsid w:val="53A70F92"/>
    <w:rsid w:val="547E7F44"/>
    <w:rsid w:val="555870BA"/>
    <w:rsid w:val="558A61F6"/>
    <w:rsid w:val="55BC6C42"/>
    <w:rsid w:val="56D12981"/>
    <w:rsid w:val="56DC0F52"/>
    <w:rsid w:val="57981846"/>
    <w:rsid w:val="58567A67"/>
    <w:rsid w:val="5C1318BA"/>
    <w:rsid w:val="5CA63A97"/>
    <w:rsid w:val="61907509"/>
    <w:rsid w:val="63065A3A"/>
    <w:rsid w:val="63097573"/>
    <w:rsid w:val="6367712A"/>
    <w:rsid w:val="64047F59"/>
    <w:rsid w:val="64DF3924"/>
    <w:rsid w:val="6793565D"/>
    <w:rsid w:val="6A035E8F"/>
    <w:rsid w:val="6A0D64E7"/>
    <w:rsid w:val="6A4964A7"/>
    <w:rsid w:val="6A931074"/>
    <w:rsid w:val="6DF04E8A"/>
    <w:rsid w:val="6E4A5358"/>
    <w:rsid w:val="6F3E2EED"/>
    <w:rsid w:val="71B80756"/>
    <w:rsid w:val="747B5DF7"/>
    <w:rsid w:val="74884070"/>
    <w:rsid w:val="74D30144"/>
    <w:rsid w:val="766325FF"/>
    <w:rsid w:val="77452DDC"/>
    <w:rsid w:val="77885D19"/>
    <w:rsid w:val="77B93680"/>
    <w:rsid w:val="78811502"/>
    <w:rsid w:val="793910AE"/>
    <w:rsid w:val="79811E4C"/>
    <w:rsid w:val="79DC08AE"/>
    <w:rsid w:val="79FC775C"/>
    <w:rsid w:val="7ADE7B29"/>
    <w:rsid w:val="7B1F46C7"/>
    <w:rsid w:val="7D243502"/>
    <w:rsid w:val="7E130390"/>
    <w:rsid w:val="7F811DCB"/>
    <w:rsid w:val="7FB921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30"/>
      <w:ind w:left="2524"/>
      <w:outlineLvl w:val="1"/>
    </w:pPr>
    <w:rPr>
      <w:rFonts w:ascii="黑体" w:hAnsi="黑体" w:eastAsia="黑体" w:cs="黑体"/>
      <w:b/>
      <w:bCs/>
      <w:sz w:val="32"/>
      <w:szCs w:val="32"/>
      <w:lang w:val="zh-CN" w:eastAsia="zh-CN" w:bidi="zh-CN"/>
    </w:rPr>
  </w:style>
  <w:style w:type="paragraph" w:styleId="3">
    <w:name w:val="heading 2"/>
    <w:basedOn w:val="1"/>
    <w:next w:val="1"/>
    <w:qFormat/>
    <w:uiPriority w:val="1"/>
    <w:pPr>
      <w:spacing w:before="43"/>
      <w:ind w:left="1362"/>
      <w:outlineLvl w:val="2"/>
    </w:pPr>
    <w:rPr>
      <w:rFonts w:ascii="宋体" w:hAnsi="宋体" w:eastAsia="宋体" w:cs="宋体"/>
      <w:b/>
      <w:bCs/>
      <w:sz w:val="30"/>
      <w:szCs w:val="30"/>
      <w:lang w:val="zh-CN" w:eastAsia="zh-CN" w:bidi="zh-CN"/>
    </w:rPr>
  </w:style>
  <w:style w:type="paragraph" w:styleId="4">
    <w:name w:val="heading 3"/>
    <w:basedOn w:val="1"/>
    <w:next w:val="1"/>
    <w:qFormat/>
    <w:uiPriority w:val="1"/>
    <w:pPr>
      <w:ind w:left="220"/>
      <w:outlineLvl w:val="3"/>
    </w:pPr>
    <w:rPr>
      <w:rFonts w:ascii="宋体" w:hAnsi="宋体" w:eastAsia="宋体" w:cs="宋体"/>
      <w:b/>
      <w:bCs/>
      <w:sz w:val="24"/>
      <w:szCs w:val="24"/>
      <w:lang w:val="zh-CN" w:eastAsia="zh-CN" w:bidi="zh-CN"/>
    </w:rPr>
  </w:style>
  <w:style w:type="character" w:default="1" w:styleId="16">
    <w:name w:val="Default Paragraph Font"/>
    <w:semiHidden/>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unhideWhenUsed/>
    <w:qFormat/>
    <w:uiPriority w:val="99"/>
    <w:pPr>
      <w:ind w:firstLine="420" w:firstLineChars="200"/>
    </w:pPr>
  </w:style>
  <w:style w:type="paragraph" w:styleId="6">
    <w:name w:val="annotation text"/>
    <w:basedOn w:val="1"/>
    <w:qFormat/>
    <w:uiPriority w:val="0"/>
    <w:pPr>
      <w:jc w:val="left"/>
    </w:pPr>
  </w:style>
  <w:style w:type="paragraph" w:styleId="7">
    <w:name w:val="Body Text"/>
    <w:basedOn w:val="1"/>
    <w:qFormat/>
    <w:uiPriority w:val="1"/>
    <w:pPr>
      <w:ind w:left="220"/>
    </w:pPr>
    <w:rPr>
      <w:rFonts w:ascii="宋体" w:hAnsi="宋体" w:eastAsia="宋体" w:cs="宋体"/>
      <w:sz w:val="24"/>
      <w:szCs w:val="24"/>
      <w:lang w:val="zh-CN" w:eastAsia="zh-CN" w:bidi="zh-CN"/>
    </w:rPr>
  </w:style>
  <w:style w:type="paragraph" w:styleId="8">
    <w:name w:val="toc 3"/>
    <w:basedOn w:val="1"/>
    <w:next w:val="1"/>
    <w:qFormat/>
    <w:uiPriority w:val="1"/>
    <w:pPr>
      <w:spacing w:before="265"/>
      <w:ind w:left="532"/>
    </w:pPr>
    <w:rPr>
      <w:rFonts w:ascii="宋体" w:hAnsi="宋体" w:eastAsia="宋体" w:cs="宋体"/>
      <w:sz w:val="28"/>
      <w:szCs w:val="28"/>
      <w:lang w:val="zh-CN" w:eastAsia="zh-CN" w:bidi="zh-CN"/>
    </w:rPr>
  </w:style>
  <w:style w:type="paragraph" w:styleId="9">
    <w:name w:val="footer"/>
    <w:basedOn w:val="1"/>
    <w:qFormat/>
    <w:uiPriority w:val="99"/>
    <w:pPr>
      <w:tabs>
        <w:tab w:val="center" w:pos="4153"/>
        <w:tab w:val="right" w:pos="8306"/>
      </w:tabs>
      <w:snapToGrid w:val="0"/>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1"/>
    <w:pPr>
      <w:spacing w:before="265"/>
      <w:ind w:left="112"/>
    </w:pPr>
    <w:rPr>
      <w:rFonts w:ascii="宋体" w:hAnsi="宋体" w:eastAsia="宋体" w:cs="宋体"/>
      <w:b/>
      <w:bCs/>
      <w:sz w:val="28"/>
      <w:szCs w:val="28"/>
      <w:lang w:val="zh-CN" w:eastAsia="zh-CN" w:bidi="zh-CN"/>
    </w:rPr>
  </w:style>
  <w:style w:type="paragraph" w:styleId="12">
    <w:name w:val="toc 2"/>
    <w:basedOn w:val="1"/>
    <w:next w:val="1"/>
    <w:qFormat/>
    <w:uiPriority w:val="1"/>
    <w:pPr>
      <w:spacing w:before="265"/>
      <w:ind w:left="112"/>
    </w:pPr>
    <w:rPr>
      <w:rFonts w:ascii="宋体" w:hAnsi="宋体" w:eastAsia="宋体" w:cs="宋体"/>
      <w:sz w:val="28"/>
      <w:szCs w:val="28"/>
      <w:lang w:val="zh-CN" w:eastAsia="zh-CN" w:bidi="zh-CN"/>
    </w:rPr>
  </w:style>
  <w:style w:type="paragraph" w:styleId="13">
    <w:name w:val="Normal (Web)"/>
    <w:basedOn w:val="1"/>
    <w:qFormat/>
    <w:uiPriority w:val="0"/>
    <w:pPr>
      <w:spacing w:before="100" w:beforeAutospacing="1" w:after="100" w:afterAutospacing="1"/>
      <w:jc w:val="left"/>
    </w:pPr>
    <w:rPr>
      <w:rFonts w:cs="Times New Roman"/>
      <w:kern w:val="0"/>
      <w:sz w:val="24"/>
      <w:szCs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
    <w:name w:val="Table Normal"/>
    <w:semiHidden/>
    <w:unhideWhenUsed/>
    <w:qFormat/>
    <w:uiPriority w:val="2"/>
    <w:tblPr>
      <w:tblCellMar>
        <w:top w:w="0" w:type="dxa"/>
        <w:left w:w="0" w:type="dxa"/>
        <w:bottom w:w="0" w:type="dxa"/>
        <w:right w:w="0" w:type="dxa"/>
      </w:tblCellMar>
    </w:tblPr>
  </w:style>
  <w:style w:type="paragraph" w:styleId="18">
    <w:name w:val="List Paragraph"/>
    <w:basedOn w:val="1"/>
    <w:qFormat/>
    <w:uiPriority w:val="1"/>
    <w:pPr>
      <w:ind w:left="220" w:firstLine="480"/>
    </w:pPr>
    <w:rPr>
      <w:rFonts w:ascii="宋体" w:hAnsi="宋体" w:eastAsia="宋体" w:cs="宋体"/>
      <w:lang w:val="zh-CN" w:eastAsia="zh-CN" w:bidi="zh-CN"/>
    </w:rPr>
  </w:style>
  <w:style w:type="paragraph" w:customStyle="1" w:styleId="1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6389</Words>
  <Characters>6441</Characters>
  <TotalTime>20</TotalTime>
  <ScaleCrop>false</ScaleCrop>
  <LinksUpToDate>false</LinksUpToDate>
  <CharactersWithSpaces>6443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2022-03-12T00:53:00Z</dcterms:created>
  <dc:creator>Administrator</dc:creator>
  <cp:lastModifiedBy>DJY</cp:lastModifiedBy>
  <dcterms:modified xsi:type="dcterms:W3CDTF">2025-12-18T16:55:21Z</dcterms:modified>
  <dc:title>广东食品药品职业学院护理学院</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2021-01-02T00:00:00Z</vt:filetime>
  </property>
  <property fmtid="{D5CDD505-2E9C-101B-9397-08002B2CF9AE}" pid="3" name="Creator">
    <vt:lpwstr>WPS 文字</vt:lpwstr>
  </property>
  <property fmtid="{D5CDD505-2E9C-101B-9397-08002B2CF9AE}" pid="4" name="LastSaved">
    <vt:filetime>2022-03-12T00:00:00Z</vt:filetime>
  </property>
  <property fmtid="{D5CDD505-2E9C-101B-9397-08002B2CF9AE}" pid="5" name="KSOProductBuildVer">
    <vt:lpwstr>2052-12.1.0.24034</vt:lpwstr>
  </property>
  <property fmtid="{D5CDD505-2E9C-101B-9397-08002B2CF9AE}" pid="6" name="ICV">
    <vt:lpwstr>E2FA26141FF34F9BB53547BF346D657D_13</vt:lpwstr>
  </property>
  <property fmtid="{D5CDD505-2E9C-101B-9397-08002B2CF9AE}" pid="7" name="KSOTemplateDocerSaveRecord">
    <vt:lpwstr>eyJoZGlkIjoiM2QyN2IzYjUzZDViOGY1YWNlNjY0ZDNjNGRiYmU1NWEiLCJ1c2VySWQiOiIxMzUwNDM1MDY1In0=</vt:lpwstr>
  </property>
</Properties>
</file>