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3E" w:rsidRDefault="00976E5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="000C3615">
        <w:rPr>
          <w:rFonts w:asciiTheme="majorEastAsia" w:eastAsiaTheme="majorEastAsia" w:hAnsiTheme="majorEastAsia" w:hint="eastAsia"/>
          <w:b/>
          <w:sz w:val="44"/>
          <w:szCs w:val="44"/>
        </w:rPr>
        <w:t>加强线上教学检查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的通知</w:t>
      </w:r>
    </w:p>
    <w:p w:rsidR="00A0653E" w:rsidRDefault="00A0653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0653E" w:rsidRDefault="0045096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096C">
        <w:rPr>
          <w:rFonts w:ascii="仿宋" w:eastAsia="仿宋" w:hAnsi="仿宋" w:hint="eastAsia"/>
          <w:sz w:val="32"/>
          <w:szCs w:val="32"/>
        </w:rPr>
        <w:t>根据教育部、省教育厅关于组织开展线上教学工作的总体部署，为进一步加强线上教学期间教学质量监控与督导工作，现将有关事项通知如下</w:t>
      </w:r>
      <w:r w:rsidR="00976E57">
        <w:rPr>
          <w:rFonts w:ascii="仿宋" w:eastAsia="仿宋" w:hAnsi="仿宋" w:hint="eastAsia"/>
          <w:sz w:val="32"/>
          <w:szCs w:val="32"/>
        </w:rPr>
        <w:t>：</w:t>
      </w:r>
    </w:p>
    <w:p w:rsidR="00A0653E" w:rsidRDefault="00976E5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45096C">
        <w:rPr>
          <w:rFonts w:ascii="黑体" w:eastAsia="黑体" w:hAnsi="黑体" w:hint="eastAsia"/>
          <w:sz w:val="32"/>
          <w:szCs w:val="32"/>
        </w:rPr>
        <w:t>检查内容</w:t>
      </w:r>
    </w:p>
    <w:p w:rsidR="0045096C" w:rsidRPr="0045096C" w:rsidRDefault="00976E57" w:rsidP="004509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45096C" w:rsidRPr="0045096C">
        <w:rPr>
          <w:rFonts w:ascii="仿宋" w:eastAsia="仿宋" w:hAnsi="仿宋" w:hint="eastAsia"/>
          <w:sz w:val="32"/>
          <w:szCs w:val="32"/>
        </w:rPr>
        <w:t>教师线上教学实施情况：包括线上教学组织情况、教学进度安排、课程资源准备和利用、按时开课、教学互动、辅导答疑、作业布置和批改等环节。</w:t>
      </w:r>
    </w:p>
    <w:p w:rsidR="0045096C" w:rsidRPr="0045096C" w:rsidRDefault="0045096C" w:rsidP="0045096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45096C">
        <w:rPr>
          <w:rFonts w:ascii="仿宋" w:eastAsia="仿宋" w:hAnsi="仿宋" w:hint="eastAsia"/>
          <w:sz w:val="32"/>
          <w:szCs w:val="32"/>
        </w:rPr>
        <w:t>学生线上学习情况：包括学生课堂出勤、在线学习、互动讨论、作业提交和在线考核等情况。</w:t>
      </w:r>
    </w:p>
    <w:p w:rsidR="00A0653E" w:rsidRDefault="00784C46" w:rsidP="0045096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976E5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检查要求</w:t>
      </w:r>
    </w:p>
    <w:p w:rsidR="00784C46" w:rsidRPr="00784C46" w:rsidRDefault="00517B41" w:rsidP="00784C4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督导</w:t>
      </w:r>
      <w:r w:rsidR="00784C46">
        <w:rPr>
          <w:rFonts w:ascii="仿宋" w:eastAsia="仿宋" w:hAnsi="仿宋" w:hint="eastAsia"/>
          <w:sz w:val="32"/>
          <w:szCs w:val="32"/>
        </w:rPr>
        <w:t>人员</w:t>
      </w:r>
      <w:r w:rsidR="00784C46" w:rsidRPr="00784C46">
        <w:rPr>
          <w:rFonts w:ascii="仿宋" w:eastAsia="仿宋" w:hAnsi="仿宋" w:hint="eastAsia"/>
          <w:sz w:val="32"/>
          <w:szCs w:val="32"/>
        </w:rPr>
        <w:t>通过</w:t>
      </w:r>
      <w:r w:rsidR="00784C46">
        <w:rPr>
          <w:rFonts w:ascii="仿宋" w:eastAsia="仿宋" w:hAnsi="仿宋" w:hint="eastAsia"/>
          <w:sz w:val="32"/>
          <w:szCs w:val="32"/>
        </w:rPr>
        <w:t>学习通</w:t>
      </w:r>
      <w:r w:rsidR="00784C46" w:rsidRPr="00784C46">
        <w:rPr>
          <w:rFonts w:ascii="仿宋" w:eastAsia="仿宋" w:hAnsi="仿宋" w:hint="eastAsia"/>
          <w:sz w:val="32"/>
          <w:szCs w:val="32"/>
        </w:rPr>
        <w:t>账号对线上教学课程进行督导；对于在</w:t>
      </w:r>
      <w:r w:rsidR="00123910">
        <w:rPr>
          <w:rFonts w:ascii="仿宋" w:eastAsia="仿宋" w:hAnsi="仿宋" w:hint="eastAsia"/>
          <w:sz w:val="32"/>
          <w:szCs w:val="32"/>
        </w:rPr>
        <w:t>钉钉群</w:t>
      </w:r>
      <w:r w:rsidR="00784C46" w:rsidRPr="00784C46">
        <w:rPr>
          <w:rFonts w:ascii="仿宋" w:eastAsia="仿宋" w:hAnsi="仿宋" w:hint="eastAsia"/>
          <w:sz w:val="32"/>
          <w:szCs w:val="32"/>
        </w:rPr>
        <w:t>或QQ群、微信群</w:t>
      </w:r>
      <w:r w:rsidR="00123910">
        <w:rPr>
          <w:rFonts w:ascii="仿宋" w:eastAsia="仿宋" w:hAnsi="仿宋" w:hint="eastAsia"/>
          <w:sz w:val="32"/>
          <w:szCs w:val="32"/>
        </w:rPr>
        <w:t>等平台</w:t>
      </w:r>
      <w:r w:rsidR="00784C46" w:rsidRPr="00784C46">
        <w:rPr>
          <w:rFonts w:ascii="仿宋" w:eastAsia="仿宋" w:hAnsi="仿宋" w:hint="eastAsia"/>
          <w:sz w:val="32"/>
          <w:szCs w:val="32"/>
        </w:rPr>
        <w:t>进行线上教学的课程，</w:t>
      </w:r>
      <w:r>
        <w:rPr>
          <w:rFonts w:ascii="仿宋" w:eastAsia="仿宋" w:hAnsi="仿宋" w:hint="eastAsia"/>
          <w:sz w:val="32"/>
          <w:szCs w:val="32"/>
        </w:rPr>
        <w:t>督导人员</w:t>
      </w:r>
      <w:r w:rsidR="00784C46" w:rsidRPr="00784C46">
        <w:rPr>
          <w:rFonts w:ascii="仿宋" w:eastAsia="仿宋" w:hAnsi="仿宋" w:hint="eastAsia"/>
          <w:sz w:val="32"/>
          <w:szCs w:val="32"/>
        </w:rPr>
        <w:t>经与任课教师联系加入课程群后对课程线上教学情况进行督导。</w:t>
      </w:r>
      <w:r>
        <w:rPr>
          <w:rFonts w:ascii="仿宋" w:eastAsia="仿宋" w:hAnsi="仿宋" w:hint="eastAsia"/>
          <w:sz w:val="32"/>
          <w:szCs w:val="32"/>
        </w:rPr>
        <w:t>督导</w:t>
      </w:r>
      <w:r w:rsidR="00784C46">
        <w:rPr>
          <w:rFonts w:ascii="仿宋" w:eastAsia="仿宋" w:hAnsi="仿宋" w:hint="eastAsia"/>
          <w:sz w:val="32"/>
          <w:szCs w:val="32"/>
        </w:rPr>
        <w:t>人员</w:t>
      </w:r>
      <w:r w:rsidR="00784C46" w:rsidRPr="00784C46">
        <w:rPr>
          <w:rFonts w:ascii="仿宋" w:eastAsia="仿宋" w:hAnsi="仿宋" w:hint="eastAsia"/>
          <w:sz w:val="32"/>
          <w:szCs w:val="32"/>
        </w:rPr>
        <w:t>每日记录督导工作情况，对督导工作中发现的重大突发问题及时报告。</w:t>
      </w:r>
    </w:p>
    <w:p w:rsidR="00784C46" w:rsidRPr="00784C46" w:rsidRDefault="00784C46" w:rsidP="00784C4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84C46">
        <w:rPr>
          <w:rFonts w:ascii="仿宋" w:eastAsia="仿宋" w:hAnsi="仿宋" w:hint="eastAsia"/>
          <w:sz w:val="32"/>
          <w:szCs w:val="32"/>
        </w:rPr>
        <w:t>各教学</w:t>
      </w:r>
      <w:r w:rsidR="00B9269C">
        <w:rPr>
          <w:rFonts w:ascii="仿宋" w:eastAsia="仿宋" w:hAnsi="仿宋" w:hint="eastAsia"/>
          <w:sz w:val="32"/>
          <w:szCs w:val="32"/>
        </w:rPr>
        <w:t>系（部）</w:t>
      </w:r>
      <w:r w:rsidRPr="00784C46">
        <w:rPr>
          <w:rFonts w:ascii="仿宋" w:eastAsia="仿宋" w:hAnsi="仿宋" w:hint="eastAsia"/>
          <w:sz w:val="32"/>
          <w:szCs w:val="32"/>
        </w:rPr>
        <w:t>要履行教学质量监管责任，积极发挥二级教学督导队伍的作用，根据本单位开课实际情况，做好线上课程巡查和督导工作，对教学质量进行监控与督导，并将运行情况报教务处。</w:t>
      </w:r>
    </w:p>
    <w:p w:rsidR="00784C46" w:rsidRPr="00784C46" w:rsidRDefault="00784C46" w:rsidP="00784C4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23910" w:rsidRDefault="00C77CBD" w:rsidP="00C77CB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实训中心</w:t>
      </w:r>
      <w:r w:rsidR="001B3DD1">
        <w:rPr>
          <w:rFonts w:ascii="仿宋" w:eastAsia="仿宋" w:hAnsi="仿宋" w:hint="eastAsia"/>
          <w:sz w:val="32"/>
          <w:szCs w:val="32"/>
        </w:rPr>
        <w:t>对</w:t>
      </w:r>
      <w:r w:rsidR="00784C46" w:rsidRPr="00784C46">
        <w:rPr>
          <w:rFonts w:ascii="仿宋" w:eastAsia="仿宋" w:hAnsi="仿宋" w:hint="eastAsia"/>
          <w:sz w:val="32"/>
          <w:szCs w:val="32"/>
        </w:rPr>
        <w:t>开展线上教学</w:t>
      </w:r>
      <w:r>
        <w:rPr>
          <w:rFonts w:ascii="仿宋" w:eastAsia="仿宋" w:hAnsi="仿宋" w:hint="eastAsia"/>
          <w:sz w:val="32"/>
          <w:szCs w:val="32"/>
        </w:rPr>
        <w:t>数据进行</w:t>
      </w:r>
      <w:r w:rsidR="001B3DD1" w:rsidRPr="00784C46">
        <w:rPr>
          <w:rFonts w:ascii="仿宋" w:eastAsia="仿宋" w:hAnsi="仿宋" w:hint="eastAsia"/>
          <w:sz w:val="32"/>
          <w:szCs w:val="32"/>
        </w:rPr>
        <w:t>及时</w:t>
      </w:r>
      <w:r w:rsidR="001B3DD1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反馈</w:t>
      </w:r>
      <w:r w:rsidR="0012391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质量监控办</w:t>
      </w:r>
      <w:r w:rsidR="00784C46" w:rsidRPr="00784C46">
        <w:rPr>
          <w:rFonts w:ascii="仿宋" w:eastAsia="仿宋" w:hAnsi="仿宋" w:hint="eastAsia"/>
          <w:sz w:val="32"/>
          <w:szCs w:val="32"/>
        </w:rPr>
        <w:t>对线上教学的总体实施情况进行总结分析，提出改进建议和意见，为学校线上教学改革和资源建设提供决策依据。</w:t>
      </w:r>
    </w:p>
    <w:p w:rsidR="00784C46" w:rsidRDefault="00784C46" w:rsidP="00784C4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三、参加对象</w:t>
      </w:r>
    </w:p>
    <w:p w:rsidR="00A0653E" w:rsidRPr="00784C46" w:rsidRDefault="00784C46" w:rsidP="00784C4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（一）各系部主任，二级督导</w:t>
      </w:r>
      <w:r w:rsidR="00EA4D80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教学管理人员</w:t>
      </w:r>
      <w:r w:rsidR="00EA4D80">
        <w:rPr>
          <w:rFonts w:ascii="仿宋" w:eastAsia="仿宋" w:hAnsi="仿宋" w:hint="eastAsia"/>
          <w:sz w:val="32"/>
          <w:szCs w:val="32"/>
        </w:rPr>
        <w:t>以及教务处</w:t>
      </w:r>
      <w:r w:rsidR="00660BB5">
        <w:rPr>
          <w:rFonts w:ascii="仿宋" w:eastAsia="仿宋" w:hAnsi="仿宋" w:hint="eastAsia"/>
          <w:sz w:val="32"/>
          <w:szCs w:val="32"/>
        </w:rPr>
        <w:t>工作</w:t>
      </w:r>
      <w:bookmarkStart w:id="0" w:name="_GoBack"/>
      <w:bookmarkEnd w:id="0"/>
      <w:r w:rsidR="00EA4D80"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 w:hint="eastAsia"/>
          <w:sz w:val="32"/>
          <w:szCs w:val="32"/>
        </w:rPr>
        <w:t>按</w:t>
      </w:r>
      <w:r w:rsidR="00135723">
        <w:rPr>
          <w:rFonts w:ascii="仿宋" w:eastAsia="仿宋" w:hAnsi="仿宋" w:hint="eastAsia"/>
          <w:sz w:val="32"/>
          <w:szCs w:val="32"/>
        </w:rPr>
        <w:t>各自</w:t>
      </w:r>
      <w:r>
        <w:rPr>
          <w:rFonts w:ascii="仿宋" w:eastAsia="仿宋" w:hAnsi="仿宋" w:hint="eastAsia"/>
          <w:sz w:val="32"/>
          <w:szCs w:val="32"/>
        </w:rPr>
        <w:t>计划进行听课与督导。</w:t>
      </w:r>
    </w:p>
    <w:p w:rsidR="00A0653E" w:rsidRDefault="00976E5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784C46">
        <w:rPr>
          <w:rFonts w:ascii="仿宋" w:eastAsia="仿宋" w:hAnsi="仿宋" w:hint="eastAsia"/>
          <w:sz w:val="32"/>
          <w:szCs w:val="32"/>
        </w:rPr>
        <w:t>学院组成听课小组，分别负责不同的系部</w:t>
      </w:r>
      <w:r w:rsidR="00FE59FE">
        <w:rPr>
          <w:rFonts w:ascii="仿宋" w:eastAsia="仿宋" w:hAnsi="仿宋" w:hint="eastAsia"/>
          <w:sz w:val="32"/>
          <w:szCs w:val="32"/>
        </w:rPr>
        <w:t>进行随机抽查</w:t>
      </w:r>
      <w:r w:rsidR="00784C46">
        <w:rPr>
          <w:rFonts w:ascii="仿宋" w:eastAsia="仿宋" w:hAnsi="仿宋" w:hint="eastAsia"/>
          <w:sz w:val="32"/>
          <w:szCs w:val="32"/>
        </w:rPr>
        <w:t>，具体安排见附件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A0653E" w:rsidRDefault="00A0653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23910" w:rsidRDefault="0012391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附件：学院听课小组安排</w:t>
      </w:r>
    </w:p>
    <w:p w:rsidR="00123910" w:rsidRDefault="0012391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0653E" w:rsidRDefault="00976E57">
      <w:pPr>
        <w:ind w:right="96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A0653E" w:rsidRDefault="00976E57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</w:t>
      </w:r>
      <w:r w:rsidR="00123910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123910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A0653E" w:rsidRDefault="00A0653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0653E" w:rsidRDefault="00A0653E">
      <w:pPr>
        <w:ind w:firstLineChars="200" w:firstLine="640"/>
        <w:rPr>
          <w:rFonts w:ascii="仿宋" w:eastAsia="仿宋" w:hAnsi="仿宋"/>
          <w:sz w:val="32"/>
          <w:szCs w:val="32"/>
        </w:rPr>
        <w:sectPr w:rsidR="00A0653E">
          <w:headerReference w:type="firs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B9269C" w:rsidRDefault="00C37AD9" w:rsidP="00C37AD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794C6D" w:rsidRPr="00B9269C" w:rsidRDefault="00C37AD9" w:rsidP="00B9269C">
      <w:pPr>
        <w:jc w:val="center"/>
        <w:rPr>
          <w:rFonts w:ascii="仿宋" w:eastAsia="仿宋" w:hAnsi="仿宋"/>
          <w:b/>
          <w:sz w:val="36"/>
          <w:szCs w:val="36"/>
        </w:rPr>
      </w:pPr>
      <w:r w:rsidRPr="00B9269C">
        <w:rPr>
          <w:rFonts w:ascii="仿宋" w:eastAsia="仿宋" w:hAnsi="仿宋" w:hint="eastAsia"/>
          <w:b/>
          <w:sz w:val="36"/>
          <w:szCs w:val="36"/>
        </w:rPr>
        <w:t>学院听课小组安排</w:t>
      </w:r>
    </w:p>
    <w:tbl>
      <w:tblPr>
        <w:tblStyle w:val="a6"/>
        <w:tblW w:w="0" w:type="auto"/>
        <w:tblLook w:val="04A0"/>
      </w:tblPr>
      <w:tblGrid>
        <w:gridCol w:w="1242"/>
        <w:gridCol w:w="3261"/>
        <w:gridCol w:w="4019"/>
      </w:tblGrid>
      <w:tr w:rsidR="00C37AD9" w:rsidTr="00C37AD9">
        <w:tc>
          <w:tcPr>
            <w:tcW w:w="1242" w:type="dxa"/>
          </w:tcPr>
          <w:p w:rsidR="00C37AD9" w:rsidRPr="00794C6D" w:rsidRDefault="00C37AD9" w:rsidP="00794C6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94C6D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261" w:type="dxa"/>
          </w:tcPr>
          <w:p w:rsidR="00C37AD9" w:rsidRPr="00794C6D" w:rsidRDefault="00C37AD9" w:rsidP="00794C6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94C6D">
              <w:rPr>
                <w:rFonts w:ascii="仿宋" w:eastAsia="仿宋" w:hAnsi="仿宋" w:hint="eastAsia"/>
                <w:b/>
                <w:sz w:val="32"/>
                <w:szCs w:val="32"/>
              </w:rPr>
              <w:t>听课小组成员</w:t>
            </w:r>
          </w:p>
        </w:tc>
        <w:tc>
          <w:tcPr>
            <w:tcW w:w="4019" w:type="dxa"/>
          </w:tcPr>
          <w:p w:rsidR="00C37AD9" w:rsidRPr="00794C6D" w:rsidRDefault="00C37AD9" w:rsidP="00794C6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94C6D">
              <w:rPr>
                <w:rFonts w:ascii="仿宋" w:eastAsia="仿宋" w:hAnsi="仿宋" w:hint="eastAsia"/>
                <w:b/>
                <w:sz w:val="32"/>
                <w:szCs w:val="32"/>
              </w:rPr>
              <w:t>听课系部</w:t>
            </w:r>
          </w:p>
        </w:tc>
      </w:tr>
      <w:tr w:rsidR="00C37AD9" w:rsidTr="00C37AD9">
        <w:tc>
          <w:tcPr>
            <w:tcW w:w="1242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261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陈红</w:t>
            </w:r>
          </w:p>
        </w:tc>
        <w:tc>
          <w:tcPr>
            <w:tcW w:w="4019" w:type="dxa"/>
          </w:tcPr>
          <w:p w:rsidR="00C37AD9" w:rsidRDefault="00794C6D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商管系</w:t>
            </w:r>
          </w:p>
        </w:tc>
      </w:tr>
      <w:tr w:rsidR="00C37AD9" w:rsidTr="00C37AD9">
        <w:tc>
          <w:tcPr>
            <w:tcW w:w="1242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261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李振斌</w:t>
            </w:r>
          </w:p>
        </w:tc>
        <w:tc>
          <w:tcPr>
            <w:tcW w:w="4019" w:type="dxa"/>
          </w:tcPr>
          <w:p w:rsidR="00C37AD9" w:rsidRDefault="00794C6D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思政部</w:t>
            </w:r>
            <w:r w:rsidR="00E57F83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人智系</w:t>
            </w:r>
          </w:p>
        </w:tc>
      </w:tr>
      <w:tr w:rsidR="00C37AD9" w:rsidTr="00C37AD9">
        <w:tc>
          <w:tcPr>
            <w:tcW w:w="1242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261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崔小玲</w:t>
            </w:r>
          </w:p>
        </w:tc>
        <w:tc>
          <w:tcPr>
            <w:tcW w:w="4019" w:type="dxa"/>
          </w:tcPr>
          <w:p w:rsidR="00C37AD9" w:rsidRDefault="00794C6D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人外系</w:t>
            </w:r>
          </w:p>
        </w:tc>
      </w:tr>
      <w:tr w:rsidR="00C37AD9" w:rsidTr="00C37AD9">
        <w:tc>
          <w:tcPr>
            <w:tcW w:w="1242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261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刘珊珊</w:t>
            </w:r>
          </w:p>
        </w:tc>
        <w:tc>
          <w:tcPr>
            <w:tcW w:w="4019" w:type="dxa"/>
          </w:tcPr>
          <w:p w:rsidR="00C37AD9" w:rsidRDefault="00794C6D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信工系</w:t>
            </w:r>
          </w:p>
        </w:tc>
      </w:tr>
      <w:tr w:rsidR="00C37AD9" w:rsidTr="00C37AD9">
        <w:tc>
          <w:tcPr>
            <w:tcW w:w="1242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261" w:type="dxa"/>
          </w:tcPr>
          <w:p w:rsidR="00C37AD9" w:rsidRDefault="00C37AD9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卜忠群</w:t>
            </w:r>
          </w:p>
        </w:tc>
        <w:tc>
          <w:tcPr>
            <w:tcW w:w="4019" w:type="dxa"/>
          </w:tcPr>
          <w:p w:rsidR="00C37AD9" w:rsidRDefault="00794C6D" w:rsidP="00794C6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贸经系</w:t>
            </w:r>
            <w:r w:rsidR="00E57F83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财会系</w:t>
            </w:r>
          </w:p>
        </w:tc>
      </w:tr>
    </w:tbl>
    <w:p w:rsidR="00A0653E" w:rsidRPr="00C37AD9" w:rsidRDefault="00A0653E" w:rsidP="0045096C">
      <w:pPr>
        <w:rPr>
          <w:rFonts w:ascii="仿宋" w:eastAsia="仿宋" w:hAnsi="仿宋"/>
          <w:sz w:val="32"/>
          <w:szCs w:val="32"/>
        </w:rPr>
      </w:pPr>
    </w:p>
    <w:sectPr w:rsidR="00A0653E" w:rsidRPr="00C37AD9" w:rsidSect="00C37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56" w:rsidRDefault="00B13A56">
      <w:r>
        <w:separator/>
      </w:r>
    </w:p>
  </w:endnote>
  <w:endnote w:type="continuationSeparator" w:id="0">
    <w:p w:rsidR="00B13A56" w:rsidRDefault="00B13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56" w:rsidRDefault="00B13A56">
      <w:r>
        <w:separator/>
      </w:r>
    </w:p>
  </w:footnote>
  <w:footnote w:type="continuationSeparator" w:id="0">
    <w:p w:rsidR="00B13A56" w:rsidRDefault="00B13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3E" w:rsidRDefault="00976E57">
    <w:pPr>
      <w:pStyle w:val="a5"/>
      <w:pBdr>
        <w:bottom w:val="none" w:sz="0" w:space="0" w:color="auto"/>
      </w:pBdr>
      <w:jc w:val="left"/>
      <w:rPr>
        <w:u w:val="single"/>
      </w:rPr>
    </w:pPr>
    <w:r>
      <w:rPr>
        <w:noProof/>
        <w:u w:val="single"/>
      </w:rPr>
      <w:drawing>
        <wp:inline distT="0" distB="0" distL="0" distR="0">
          <wp:extent cx="1628775" cy="457200"/>
          <wp:effectExtent l="0" t="0" r="0" b="0"/>
          <wp:docPr id="18" name="图片 18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                             2019-2020</w:t>
    </w:r>
    <w:r>
      <w:rPr>
        <w:rFonts w:hint="eastAsia"/>
        <w:u w:val="single"/>
      </w:rPr>
      <w:t>学年第二学期教务处</w:t>
    </w:r>
    <w:r>
      <w:rPr>
        <w:rFonts w:hint="eastAsia"/>
        <w:u w:val="single"/>
      </w:rPr>
      <w:t>00</w:t>
    </w:r>
    <w:r w:rsidR="00B94C7F">
      <w:rPr>
        <w:u w:val="single"/>
      </w:rPr>
      <w:t>8</w:t>
    </w:r>
    <w:r>
      <w:rPr>
        <w:rFonts w:hint="eastAsia"/>
        <w:u w:val="single"/>
      </w:rPr>
      <w:t>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2E4"/>
    <w:rsid w:val="00002E06"/>
    <w:rsid w:val="000800DE"/>
    <w:rsid w:val="000C3615"/>
    <w:rsid w:val="00123910"/>
    <w:rsid w:val="00135723"/>
    <w:rsid w:val="001406C5"/>
    <w:rsid w:val="00171D58"/>
    <w:rsid w:val="001755D4"/>
    <w:rsid w:val="001B3DD1"/>
    <w:rsid w:val="002073C6"/>
    <w:rsid w:val="002A425B"/>
    <w:rsid w:val="002D10B2"/>
    <w:rsid w:val="002D1903"/>
    <w:rsid w:val="002D332E"/>
    <w:rsid w:val="003022E4"/>
    <w:rsid w:val="003814FF"/>
    <w:rsid w:val="0045096C"/>
    <w:rsid w:val="00474609"/>
    <w:rsid w:val="00491E44"/>
    <w:rsid w:val="004C3A16"/>
    <w:rsid w:val="004F1D45"/>
    <w:rsid w:val="00517B41"/>
    <w:rsid w:val="00521C47"/>
    <w:rsid w:val="005633FE"/>
    <w:rsid w:val="00577FAB"/>
    <w:rsid w:val="00622852"/>
    <w:rsid w:val="0063065B"/>
    <w:rsid w:val="00633FC3"/>
    <w:rsid w:val="0063656E"/>
    <w:rsid w:val="00660BB5"/>
    <w:rsid w:val="006E0988"/>
    <w:rsid w:val="00784C46"/>
    <w:rsid w:val="00793BF1"/>
    <w:rsid w:val="00794C6D"/>
    <w:rsid w:val="00795692"/>
    <w:rsid w:val="007E45DC"/>
    <w:rsid w:val="007F526E"/>
    <w:rsid w:val="00833C90"/>
    <w:rsid w:val="008E1424"/>
    <w:rsid w:val="009139C3"/>
    <w:rsid w:val="00917556"/>
    <w:rsid w:val="0097463F"/>
    <w:rsid w:val="00976E57"/>
    <w:rsid w:val="009864F5"/>
    <w:rsid w:val="009C7ED9"/>
    <w:rsid w:val="009D4C6A"/>
    <w:rsid w:val="009D696F"/>
    <w:rsid w:val="00A01C1F"/>
    <w:rsid w:val="00A0653E"/>
    <w:rsid w:val="00AA0962"/>
    <w:rsid w:val="00AC57C7"/>
    <w:rsid w:val="00B030BD"/>
    <w:rsid w:val="00B13A56"/>
    <w:rsid w:val="00B150B7"/>
    <w:rsid w:val="00B177FC"/>
    <w:rsid w:val="00B5571D"/>
    <w:rsid w:val="00B5760E"/>
    <w:rsid w:val="00B9269C"/>
    <w:rsid w:val="00B94C7F"/>
    <w:rsid w:val="00C03725"/>
    <w:rsid w:val="00C31AEC"/>
    <w:rsid w:val="00C37AD9"/>
    <w:rsid w:val="00C668CE"/>
    <w:rsid w:val="00C73680"/>
    <w:rsid w:val="00C77CBD"/>
    <w:rsid w:val="00D0435E"/>
    <w:rsid w:val="00D90DEF"/>
    <w:rsid w:val="00DB10AB"/>
    <w:rsid w:val="00E211AC"/>
    <w:rsid w:val="00E57F83"/>
    <w:rsid w:val="00E85992"/>
    <w:rsid w:val="00EA4D80"/>
    <w:rsid w:val="00EC2ECC"/>
    <w:rsid w:val="00EE4B68"/>
    <w:rsid w:val="00EF5D5D"/>
    <w:rsid w:val="00F32D95"/>
    <w:rsid w:val="00F92B1D"/>
    <w:rsid w:val="00FC1013"/>
    <w:rsid w:val="00FE0F08"/>
    <w:rsid w:val="00FE3872"/>
    <w:rsid w:val="00FE59FE"/>
    <w:rsid w:val="1E1F3039"/>
    <w:rsid w:val="2FB83647"/>
    <w:rsid w:val="323D2B49"/>
    <w:rsid w:val="76F39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0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0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08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80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800DE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0800D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800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800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PC</cp:lastModifiedBy>
  <cp:revision>6</cp:revision>
  <dcterms:created xsi:type="dcterms:W3CDTF">2020-03-12T08:40:00Z</dcterms:created>
  <dcterms:modified xsi:type="dcterms:W3CDTF">2020-03-12T09:06:00Z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