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3A" w:rsidRPr="000A22BC" w:rsidRDefault="00DC6ED8" w:rsidP="00D31944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0A22BC">
        <w:rPr>
          <w:rFonts w:ascii="仿宋" w:eastAsia="仿宋" w:hAnsi="仿宋" w:cs="仿宋" w:hint="eastAsia"/>
          <w:b/>
          <w:bCs/>
          <w:sz w:val="44"/>
          <w:szCs w:val="44"/>
        </w:rPr>
        <w:t>关于举办2020年专业剖析</w:t>
      </w:r>
      <w:r w:rsidR="00CB2971" w:rsidRPr="000A22BC">
        <w:rPr>
          <w:rFonts w:ascii="仿宋" w:eastAsia="仿宋" w:hAnsi="仿宋" w:cs="仿宋" w:hint="eastAsia"/>
          <w:b/>
          <w:bCs/>
          <w:sz w:val="44"/>
          <w:szCs w:val="44"/>
        </w:rPr>
        <w:t>决</w:t>
      </w:r>
      <w:r w:rsidRPr="000A22BC">
        <w:rPr>
          <w:rFonts w:ascii="仿宋" w:eastAsia="仿宋" w:hAnsi="仿宋" w:cs="仿宋" w:hint="eastAsia"/>
          <w:b/>
          <w:bCs/>
          <w:sz w:val="44"/>
          <w:szCs w:val="44"/>
        </w:rPr>
        <w:t>赛的通知</w:t>
      </w:r>
    </w:p>
    <w:p w:rsidR="0022423A" w:rsidRPr="000A22BC" w:rsidRDefault="0022423A" w:rsidP="00D31944">
      <w:pPr>
        <w:spacing w:line="560" w:lineRule="exact"/>
      </w:pPr>
    </w:p>
    <w:p w:rsidR="0022423A" w:rsidRPr="000A22BC" w:rsidRDefault="00DC6ED8" w:rsidP="00D319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0A22BC">
        <w:rPr>
          <w:rFonts w:ascii="仿宋" w:eastAsia="仿宋" w:hAnsi="仿宋" w:cs="仿宋" w:hint="eastAsia"/>
          <w:sz w:val="32"/>
          <w:szCs w:val="32"/>
        </w:rPr>
        <w:t>各</w:t>
      </w:r>
      <w:r w:rsidR="00976B34" w:rsidRPr="000A22BC">
        <w:rPr>
          <w:rFonts w:ascii="仿宋" w:eastAsia="仿宋" w:hAnsi="仿宋" w:cs="仿宋" w:hint="eastAsia"/>
          <w:sz w:val="32"/>
          <w:szCs w:val="32"/>
        </w:rPr>
        <w:t>二级学院</w:t>
      </w:r>
      <w:r w:rsidRPr="000A22BC">
        <w:rPr>
          <w:rFonts w:ascii="仿宋" w:eastAsia="仿宋" w:hAnsi="仿宋" w:cs="仿宋" w:hint="eastAsia"/>
          <w:sz w:val="32"/>
          <w:szCs w:val="32"/>
        </w:rPr>
        <w:t>：</w:t>
      </w:r>
    </w:p>
    <w:p w:rsidR="0022423A" w:rsidRPr="000A22BC" w:rsidRDefault="00DC6ED8" w:rsidP="00D319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A22BC">
        <w:rPr>
          <w:rFonts w:ascii="仿宋" w:eastAsia="仿宋" w:hAnsi="仿宋" w:cs="仿宋" w:hint="eastAsia"/>
          <w:sz w:val="32"/>
          <w:szCs w:val="32"/>
        </w:rPr>
        <w:t>根据《广州华南商贸职业学院人才培养工作评估实施方案》要求，</w:t>
      </w:r>
      <w:r w:rsidR="002B63B0" w:rsidRPr="000A22BC">
        <w:rPr>
          <w:rFonts w:ascii="仿宋" w:eastAsia="仿宋" w:hAnsi="仿宋" w:cs="仿宋" w:hint="eastAsia"/>
          <w:sz w:val="32"/>
          <w:szCs w:val="32"/>
        </w:rPr>
        <w:t>并</w:t>
      </w:r>
      <w:r w:rsidRPr="000A22BC">
        <w:rPr>
          <w:rFonts w:ascii="仿宋" w:eastAsia="仿宋" w:hAnsi="仿宋" w:cs="仿宋" w:hint="eastAsia"/>
          <w:sz w:val="32"/>
          <w:szCs w:val="32"/>
        </w:rPr>
        <w:t>结合学院《2020年人才培养工作评估第一轮专业剖析实施方案》，</w:t>
      </w:r>
      <w:r w:rsidR="002B63B0" w:rsidRPr="000A22BC">
        <w:rPr>
          <w:rFonts w:ascii="仿宋" w:eastAsia="仿宋" w:hAnsi="仿宋" w:cs="仿宋" w:hint="eastAsia"/>
          <w:sz w:val="32"/>
          <w:szCs w:val="32"/>
        </w:rPr>
        <w:t>教学科研部组织</w:t>
      </w:r>
      <w:r w:rsidR="00833FC6" w:rsidRPr="000A22BC">
        <w:rPr>
          <w:rFonts w:ascii="仿宋" w:eastAsia="仿宋" w:hAnsi="仿宋" w:cs="仿宋" w:hint="eastAsia"/>
          <w:sz w:val="32"/>
          <w:szCs w:val="32"/>
        </w:rPr>
        <w:t>各二级学院</w:t>
      </w:r>
      <w:r w:rsidR="005C6A50" w:rsidRPr="000A22BC">
        <w:rPr>
          <w:rFonts w:ascii="仿宋" w:eastAsia="仿宋" w:hAnsi="仿宋" w:cs="仿宋" w:hint="eastAsia"/>
          <w:sz w:val="32"/>
          <w:szCs w:val="32"/>
        </w:rPr>
        <w:t>前期</w:t>
      </w:r>
      <w:r w:rsidRPr="000A22BC">
        <w:rPr>
          <w:rFonts w:ascii="仿宋" w:eastAsia="仿宋" w:hAnsi="仿宋" w:cs="仿宋" w:hint="eastAsia"/>
          <w:sz w:val="32"/>
          <w:szCs w:val="32"/>
        </w:rPr>
        <w:t>开展</w:t>
      </w:r>
      <w:r w:rsidR="009C0D2A" w:rsidRPr="000A22BC">
        <w:rPr>
          <w:rFonts w:ascii="仿宋" w:eastAsia="仿宋" w:hAnsi="仿宋" w:cs="仿宋" w:hint="eastAsia"/>
          <w:sz w:val="32"/>
          <w:szCs w:val="32"/>
        </w:rPr>
        <w:t>了</w:t>
      </w:r>
      <w:r w:rsidRPr="000A22BC">
        <w:rPr>
          <w:rFonts w:ascii="仿宋" w:eastAsia="仿宋" w:hAnsi="仿宋" w:cs="仿宋" w:hint="eastAsia"/>
          <w:sz w:val="32"/>
          <w:szCs w:val="32"/>
        </w:rPr>
        <w:t>专业剖析</w:t>
      </w:r>
      <w:r w:rsidR="005C6A50" w:rsidRPr="000A22BC">
        <w:rPr>
          <w:rFonts w:ascii="仿宋" w:eastAsia="仿宋" w:hAnsi="仿宋" w:cs="仿宋" w:hint="eastAsia"/>
          <w:sz w:val="32"/>
          <w:szCs w:val="32"/>
        </w:rPr>
        <w:t>初赛</w:t>
      </w:r>
      <w:r w:rsidRPr="000A22BC">
        <w:rPr>
          <w:rFonts w:ascii="仿宋" w:eastAsia="仿宋" w:hAnsi="仿宋" w:cs="仿宋" w:hint="eastAsia"/>
          <w:sz w:val="32"/>
          <w:szCs w:val="32"/>
        </w:rPr>
        <w:t>，</w:t>
      </w:r>
      <w:r w:rsidR="00833FC6" w:rsidRPr="000A22BC">
        <w:rPr>
          <w:rFonts w:ascii="仿宋" w:eastAsia="仿宋" w:hAnsi="仿宋" w:cs="仿宋" w:hint="eastAsia"/>
          <w:sz w:val="32"/>
          <w:szCs w:val="32"/>
        </w:rPr>
        <w:t>在此基础上，学校</w:t>
      </w:r>
      <w:r w:rsidR="00133D9E" w:rsidRPr="000A22BC">
        <w:rPr>
          <w:rFonts w:ascii="仿宋" w:eastAsia="仿宋" w:hAnsi="仿宋" w:cs="仿宋" w:hint="eastAsia"/>
          <w:sz w:val="32"/>
          <w:szCs w:val="32"/>
        </w:rPr>
        <w:t>将</w:t>
      </w:r>
      <w:r w:rsidR="00F617A1" w:rsidRPr="000A22BC">
        <w:rPr>
          <w:rFonts w:ascii="仿宋" w:eastAsia="仿宋" w:hAnsi="仿宋" w:cs="仿宋" w:hint="eastAsia"/>
          <w:sz w:val="32"/>
          <w:szCs w:val="32"/>
        </w:rPr>
        <w:t>于11月份</w:t>
      </w:r>
      <w:r w:rsidR="00833FC6" w:rsidRPr="000A22BC">
        <w:rPr>
          <w:rFonts w:ascii="仿宋" w:eastAsia="仿宋" w:hAnsi="仿宋" w:cs="仿宋" w:hint="eastAsia"/>
          <w:sz w:val="32"/>
          <w:szCs w:val="32"/>
        </w:rPr>
        <w:t>举办专业剖析决赛，具体要求通知</w:t>
      </w:r>
      <w:r w:rsidRPr="000A22BC">
        <w:rPr>
          <w:rFonts w:ascii="仿宋" w:eastAsia="仿宋" w:hAnsi="仿宋" w:cs="仿宋" w:hint="eastAsia"/>
          <w:sz w:val="32"/>
          <w:szCs w:val="32"/>
        </w:rPr>
        <w:t>如下：</w:t>
      </w:r>
    </w:p>
    <w:p w:rsidR="003E619B" w:rsidRPr="000A22BC" w:rsidRDefault="00DC6ED8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8449B1" w:rsidRPr="000A22BC">
        <w:rPr>
          <w:rFonts w:ascii="黑体" w:eastAsia="黑体" w:hAnsi="黑体" w:cs="宋体" w:hint="eastAsia"/>
          <w:kern w:val="0"/>
          <w:sz w:val="32"/>
          <w:szCs w:val="32"/>
        </w:rPr>
        <w:t>决赛</w:t>
      </w:r>
      <w:r w:rsidR="003E619B" w:rsidRPr="000A22BC">
        <w:rPr>
          <w:rFonts w:ascii="黑体" w:eastAsia="黑体" w:hAnsi="黑体" w:cs="宋体" w:hint="eastAsia"/>
          <w:kern w:val="0"/>
          <w:sz w:val="32"/>
          <w:szCs w:val="32"/>
        </w:rPr>
        <w:t>形式</w:t>
      </w:r>
    </w:p>
    <w:p w:rsidR="003E619B" w:rsidRPr="000A22BC" w:rsidRDefault="003E619B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决赛分佐证材料验收和现场</w:t>
      </w:r>
      <w:r w:rsidR="00271FA1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汇报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两部分。</w:t>
      </w:r>
      <w:r w:rsidR="002C79B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佐证材料</w:t>
      </w:r>
      <w:proofErr w:type="gramStart"/>
      <w:r w:rsidR="002C79B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验收占</w:t>
      </w:r>
      <w:proofErr w:type="gramEnd"/>
      <w:r w:rsidR="00CC1487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总</w:t>
      </w:r>
      <w:r w:rsidR="00C758DB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成绩</w:t>
      </w:r>
      <w:r w:rsidR="002C79B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的40%，现场</w:t>
      </w:r>
      <w:proofErr w:type="gramStart"/>
      <w:r w:rsidR="00271FA1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汇报</w:t>
      </w:r>
      <w:r w:rsidR="002C79B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占</w:t>
      </w:r>
      <w:proofErr w:type="gramEnd"/>
      <w:r w:rsidR="00B1200A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总</w:t>
      </w:r>
      <w:r w:rsidR="00C758DB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成绩</w:t>
      </w:r>
      <w:r w:rsidR="002C79B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的60%。</w:t>
      </w:r>
    </w:p>
    <w:p w:rsidR="008E7146" w:rsidRPr="000A22BC" w:rsidRDefault="008E7146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二、决赛对象</w:t>
      </w:r>
    </w:p>
    <w:p w:rsidR="008E7146" w:rsidRPr="000A22BC" w:rsidRDefault="008E7146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电子商务和软件技术两个省级二类品牌专业及会计、工商企业管理和商务英语三个校级重点专业，</w:t>
      </w:r>
      <w:r w:rsidR="003A5AB1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并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根据初赛开展情况，抽取</w:t>
      </w:r>
      <w:r w:rsidR="002D450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数字媒体应用技术、</w:t>
      </w:r>
      <w:r w:rsidR="00D326D9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幼儿发展与健康管理</w:t>
      </w:r>
      <w:r w:rsidR="003A5AB1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两个专业，共七个专业参加学校决赛。</w:t>
      </w:r>
    </w:p>
    <w:p w:rsidR="003E619B" w:rsidRPr="000A22BC" w:rsidRDefault="00F74A70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3E619B" w:rsidRPr="000A22BC">
        <w:rPr>
          <w:rFonts w:ascii="黑体" w:eastAsia="黑体" w:hAnsi="黑体" w:cs="宋体" w:hint="eastAsia"/>
          <w:kern w:val="0"/>
          <w:sz w:val="32"/>
          <w:szCs w:val="32"/>
        </w:rPr>
        <w:t>、决赛时间地点</w:t>
      </w:r>
    </w:p>
    <w:p w:rsidR="003E619B" w:rsidRPr="000A22BC" w:rsidRDefault="003E619B" w:rsidP="00D31944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b/>
          <w:kern w:val="0"/>
          <w:sz w:val="32"/>
          <w:szCs w:val="32"/>
        </w:rPr>
        <w:t>佐证材料验收：</w:t>
      </w:r>
      <w:r w:rsidR="001C3A03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2020年11月19日前</w:t>
      </w:r>
      <w:r w:rsidR="001C3A03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，各参赛专业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将专业剖析</w:t>
      </w:r>
      <w:r w:rsidR="00F31EC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自评报告及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佐证材料电子版</w:t>
      </w:r>
      <w:proofErr w:type="gramStart"/>
      <w:r w:rsidR="00041E9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提交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评建办</w:t>
      </w:r>
      <w:r w:rsidR="007173DC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公室</w:t>
      </w:r>
      <w:proofErr w:type="gramEnd"/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陈</w:t>
      </w:r>
      <w:r w:rsidR="0024117A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苹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副部长</w:t>
      </w:r>
      <w:r w:rsidR="000A22BC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0A22BC" w:rsidRPr="000A22BC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</w:p>
    <w:p w:rsidR="003E619B" w:rsidRPr="000A22BC" w:rsidRDefault="003E619B" w:rsidP="00D31944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b/>
          <w:kern w:val="0"/>
          <w:sz w:val="32"/>
          <w:szCs w:val="32"/>
        </w:rPr>
        <w:t>现场</w:t>
      </w:r>
      <w:r w:rsidR="00150883" w:rsidRPr="000A22BC">
        <w:rPr>
          <w:rFonts w:ascii="仿宋_GB2312" w:eastAsia="仿宋_GB2312" w:hAnsi="仿宋" w:cs="宋体" w:hint="eastAsia"/>
          <w:b/>
          <w:kern w:val="0"/>
          <w:sz w:val="32"/>
          <w:szCs w:val="32"/>
        </w:rPr>
        <w:t>汇报</w:t>
      </w:r>
      <w:r w:rsidRPr="000A22BC">
        <w:rPr>
          <w:rFonts w:ascii="仿宋_GB2312" w:eastAsia="仿宋_GB2312" w:hAnsi="仿宋" w:cs="宋体" w:hint="eastAsia"/>
          <w:b/>
          <w:kern w:val="0"/>
          <w:sz w:val="32"/>
          <w:szCs w:val="32"/>
        </w:rPr>
        <w:t>：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2020年11月26日下午14:30在3-103举行。</w:t>
      </w:r>
    </w:p>
    <w:p w:rsidR="00EB2762" w:rsidRPr="000A22BC" w:rsidRDefault="00F74A70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EB2762" w:rsidRPr="000A22BC">
        <w:rPr>
          <w:rFonts w:ascii="黑体" w:eastAsia="黑体" w:hAnsi="黑体" w:cs="宋体" w:hint="eastAsia"/>
          <w:kern w:val="0"/>
          <w:sz w:val="32"/>
          <w:szCs w:val="32"/>
        </w:rPr>
        <w:t>、决赛提交资料</w:t>
      </w:r>
    </w:p>
    <w:p w:rsidR="003E619B" w:rsidRPr="000A22BC" w:rsidRDefault="001C3A03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="003E619B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佐证材料</w:t>
      </w:r>
      <w:r w:rsidR="00EB276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佐证材料</w:t>
      </w:r>
      <w:r w:rsidR="003E619B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须按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专业定位与人才培养、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教学基本条件、教学改革与教学管理、人才培养质量</w:t>
      </w:r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、专业特色或创新（自主确定）五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个方面的内容建立</w:t>
      </w:r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一级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文件夹</w:t>
      </w:r>
      <w:r w:rsidR="00B71800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每个文件夹下</w:t>
      </w:r>
      <w:proofErr w:type="gramStart"/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按关键</w:t>
      </w:r>
      <w:proofErr w:type="gramEnd"/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要素建立二级文件夹，二级文件夹下为具体的佐证材料</w:t>
      </w:r>
      <w:r w:rsidR="006752D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及材料清单</w:t>
      </w:r>
      <w:r w:rsidR="00B71800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佐证材料文件名称</w:t>
      </w:r>
      <w:r w:rsidR="003E619B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须与</w:t>
      </w:r>
      <w:r w:rsidR="006752D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材料</w:t>
      </w:r>
      <w:r w:rsidR="0055613D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清单名称一致。</w:t>
      </w:r>
    </w:p>
    <w:p w:rsidR="007045CE" w:rsidRPr="000A22BC" w:rsidRDefault="001C3A03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专业剖析自评报告</w:t>
      </w:r>
      <w:r w:rsidR="00D74D9F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。参照撰写指南及专业剖析讲座提供的自评报告样本进行撰写。</w:t>
      </w:r>
    </w:p>
    <w:p w:rsidR="00532ACC" w:rsidRPr="000A22BC" w:rsidRDefault="001C3A03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专业</w:t>
      </w:r>
      <w:proofErr w:type="gramStart"/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剖析汇报</w:t>
      </w:r>
      <w:proofErr w:type="gramEnd"/>
      <w:r w:rsidR="007045CE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PPT</w:t>
      </w:r>
      <w:r w:rsidR="00D34B52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。按专业定位与人才培养、教学基本条件、教学改革与教学管理、人才培养质量、专业特色或创新及反思与展望等要点展开。</w:t>
      </w:r>
    </w:p>
    <w:p w:rsidR="007045CE" w:rsidRPr="000A22BC" w:rsidRDefault="00532ACC" w:rsidP="00D31944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自评报告电子版须于11月19日前、</w:t>
      </w:r>
      <w:r w:rsidR="002F0233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汇报</w:t>
      </w:r>
      <w:r w:rsidR="00576094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PPT</w:t>
      </w:r>
      <w:r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于</w:t>
      </w:r>
      <w:r w:rsidR="00576094" w:rsidRPr="000A22BC">
        <w:rPr>
          <w:rFonts w:ascii="仿宋_GB2312" w:eastAsia="仿宋_GB2312" w:hAnsi="仿宋" w:cs="宋体" w:hint="eastAsia"/>
          <w:kern w:val="0"/>
          <w:sz w:val="32"/>
          <w:szCs w:val="32"/>
        </w:rPr>
        <w:t>11月25日中午下班前提交教学科研部。</w:t>
      </w:r>
    </w:p>
    <w:p w:rsidR="003E619B" w:rsidRPr="000A22BC" w:rsidRDefault="00F74A70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0861BD" w:rsidRPr="000A22BC">
        <w:rPr>
          <w:rFonts w:ascii="黑体" w:eastAsia="黑体" w:hAnsi="黑体" w:cs="宋体" w:hint="eastAsia"/>
          <w:kern w:val="0"/>
          <w:sz w:val="32"/>
          <w:szCs w:val="32"/>
        </w:rPr>
        <w:t>、现场</w:t>
      </w:r>
      <w:r w:rsidR="00EF09F4" w:rsidRPr="000A22BC">
        <w:rPr>
          <w:rFonts w:ascii="黑体" w:eastAsia="黑体" w:hAnsi="黑体" w:cs="宋体" w:hint="eastAsia"/>
          <w:kern w:val="0"/>
          <w:sz w:val="32"/>
          <w:szCs w:val="32"/>
        </w:rPr>
        <w:t>汇报</w:t>
      </w:r>
    </w:p>
    <w:p w:rsidR="0037206C" w:rsidRPr="000A22BC" w:rsidRDefault="001D27FF" w:rsidP="00D31944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现场</w:t>
      </w:r>
      <w:proofErr w:type="gramStart"/>
      <w:r w:rsidR="00EF09F4" w:rsidRPr="000A22BC">
        <w:rPr>
          <w:rFonts w:ascii="仿宋" w:eastAsia="仿宋" w:hAnsi="仿宋" w:cs="宋体" w:hint="eastAsia"/>
          <w:kern w:val="0"/>
          <w:sz w:val="32"/>
          <w:szCs w:val="32"/>
        </w:rPr>
        <w:t>汇报</w:t>
      </w: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分专业剖析汇报</w:t>
      </w:r>
      <w:proofErr w:type="gramEnd"/>
      <w:r w:rsidRPr="000A22BC">
        <w:rPr>
          <w:rFonts w:ascii="仿宋" w:eastAsia="仿宋" w:hAnsi="仿宋" w:cs="宋体" w:hint="eastAsia"/>
          <w:kern w:val="0"/>
          <w:sz w:val="32"/>
          <w:szCs w:val="32"/>
        </w:rPr>
        <w:t>和答辩两个环节。</w:t>
      </w:r>
    </w:p>
    <w:p w:rsidR="000861BD" w:rsidRPr="000A22BC" w:rsidRDefault="001D27FF" w:rsidP="00D31944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专业剖析</w:t>
      </w:r>
      <w:r w:rsidR="0037206C" w:rsidRPr="000A22BC">
        <w:rPr>
          <w:rFonts w:ascii="仿宋" w:eastAsia="仿宋" w:hAnsi="仿宋" w:cs="宋体" w:hint="eastAsia"/>
          <w:kern w:val="0"/>
          <w:sz w:val="32"/>
          <w:szCs w:val="32"/>
        </w:rPr>
        <w:t>由专业负责人进行</w:t>
      </w: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汇报</w:t>
      </w:r>
      <w:r w:rsidR="0037206C" w:rsidRPr="000A22B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时间</w:t>
      </w:r>
      <w:r w:rsidR="0037206C" w:rsidRPr="000A22BC">
        <w:rPr>
          <w:rFonts w:ascii="仿宋" w:eastAsia="仿宋" w:hAnsi="仿宋" w:cs="宋体" w:hint="eastAsia"/>
          <w:kern w:val="0"/>
          <w:sz w:val="32"/>
          <w:szCs w:val="32"/>
        </w:rPr>
        <w:t>控制在</w:t>
      </w: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20分钟以内</w:t>
      </w:r>
      <w:r w:rsidR="0037206C" w:rsidRPr="000A22BC">
        <w:rPr>
          <w:rFonts w:ascii="仿宋" w:eastAsia="仿宋" w:hAnsi="仿宋" w:cs="宋体" w:hint="eastAsia"/>
          <w:kern w:val="0"/>
          <w:sz w:val="32"/>
          <w:szCs w:val="32"/>
        </w:rPr>
        <w:t>。评委将针对本专业的自评报告、佐证材料和现场汇报情况提出问题，专业负责人针对问题进行答辩，</w:t>
      </w:r>
      <w:r w:rsidRPr="000A22BC">
        <w:rPr>
          <w:rFonts w:ascii="仿宋" w:eastAsia="仿宋" w:hAnsi="仿宋" w:cs="宋体" w:hint="eastAsia"/>
          <w:kern w:val="0"/>
          <w:sz w:val="32"/>
          <w:szCs w:val="32"/>
        </w:rPr>
        <w:t>答辩时间5分钟。</w:t>
      </w:r>
    </w:p>
    <w:p w:rsidR="008449B1" w:rsidRPr="000A22BC" w:rsidRDefault="00F74A70" w:rsidP="00D3194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A22BC">
        <w:rPr>
          <w:rFonts w:ascii="黑体" w:eastAsia="黑体" w:hAnsi="黑体" w:cs="宋体" w:hint="eastAsia"/>
          <w:kern w:val="0"/>
          <w:sz w:val="32"/>
          <w:szCs w:val="32"/>
        </w:rPr>
        <w:t>六</w:t>
      </w:r>
      <w:r w:rsidR="001D27FF" w:rsidRPr="000A22BC">
        <w:rPr>
          <w:rFonts w:ascii="黑体" w:eastAsia="黑体" w:hAnsi="黑体" w:cs="宋体" w:hint="eastAsia"/>
          <w:kern w:val="0"/>
          <w:sz w:val="32"/>
          <w:szCs w:val="32"/>
        </w:rPr>
        <w:t>、评审</w:t>
      </w:r>
    </w:p>
    <w:p w:rsidR="002C79B9" w:rsidRPr="000A22BC" w:rsidRDefault="00115429" w:rsidP="00D31944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 w:hint="eastAsia"/>
          <w:sz w:val="32"/>
          <w:szCs w:val="32"/>
        </w:rPr>
        <w:t>（一）</w:t>
      </w:r>
      <w:proofErr w:type="gramStart"/>
      <w:r w:rsidR="000A22BC" w:rsidRPr="000A22BC">
        <w:rPr>
          <w:rFonts w:ascii="仿宋_GB2312" w:eastAsia="仿宋_GB2312" w:hint="eastAsia"/>
          <w:sz w:val="32"/>
          <w:szCs w:val="32"/>
        </w:rPr>
        <w:t>由评建</w:t>
      </w:r>
      <w:proofErr w:type="gramEnd"/>
      <w:r w:rsidR="000A22BC" w:rsidRPr="000A22BC">
        <w:rPr>
          <w:rFonts w:ascii="仿宋_GB2312" w:eastAsia="仿宋_GB2312" w:hint="eastAsia"/>
          <w:sz w:val="32"/>
          <w:szCs w:val="32"/>
        </w:rPr>
        <w:t>办和教学科研部组成评价小组</w:t>
      </w:r>
      <w:r w:rsidR="00A03389" w:rsidRPr="000A22BC">
        <w:rPr>
          <w:rFonts w:ascii="仿宋_GB2312" w:eastAsia="仿宋_GB2312" w:hint="eastAsia"/>
          <w:sz w:val="32"/>
          <w:szCs w:val="32"/>
        </w:rPr>
        <w:t>对参赛专业自评报告及佐证材料组织验收、评审。评分标准参考佐证材料</w:t>
      </w:r>
      <w:r w:rsidR="00524E04" w:rsidRPr="000A22BC">
        <w:rPr>
          <w:rFonts w:ascii="仿宋_GB2312" w:eastAsia="仿宋_GB2312" w:hint="eastAsia"/>
          <w:sz w:val="32"/>
          <w:szCs w:val="32"/>
        </w:rPr>
        <w:t>完成质量及</w:t>
      </w:r>
      <w:r w:rsidR="00A03389" w:rsidRPr="000A22BC">
        <w:rPr>
          <w:rFonts w:ascii="仿宋_GB2312" w:eastAsia="仿宋_GB2312" w:hint="eastAsia"/>
          <w:sz w:val="32"/>
          <w:szCs w:val="32"/>
        </w:rPr>
        <w:t>完成</w:t>
      </w:r>
      <w:r w:rsidR="00140E9D" w:rsidRPr="000A22BC">
        <w:rPr>
          <w:rFonts w:ascii="仿宋_GB2312" w:eastAsia="仿宋_GB2312" w:hint="eastAsia"/>
          <w:sz w:val="32"/>
          <w:szCs w:val="32"/>
        </w:rPr>
        <w:t>进度</w:t>
      </w:r>
      <w:r w:rsidR="00A03389" w:rsidRPr="000A22BC">
        <w:rPr>
          <w:rFonts w:ascii="仿宋_GB2312" w:eastAsia="仿宋_GB2312" w:hint="eastAsia"/>
          <w:sz w:val="32"/>
          <w:szCs w:val="32"/>
        </w:rPr>
        <w:t>情况。</w:t>
      </w:r>
    </w:p>
    <w:p w:rsidR="001614FF" w:rsidRPr="000A22BC" w:rsidRDefault="00115429" w:rsidP="00D31944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 w:hint="eastAsia"/>
          <w:sz w:val="32"/>
          <w:szCs w:val="32"/>
        </w:rPr>
        <w:t>（二）</w:t>
      </w:r>
      <w:r w:rsidR="001A7D35" w:rsidRPr="000A22BC">
        <w:rPr>
          <w:rFonts w:ascii="仿宋_GB2312" w:eastAsia="仿宋_GB2312" w:hint="eastAsia"/>
          <w:sz w:val="32"/>
          <w:szCs w:val="32"/>
        </w:rPr>
        <w:t>由现场</w:t>
      </w:r>
      <w:r w:rsidR="001614FF" w:rsidRPr="000A22BC">
        <w:rPr>
          <w:rFonts w:ascii="仿宋_GB2312" w:eastAsia="仿宋_GB2312" w:hint="eastAsia"/>
          <w:sz w:val="32"/>
          <w:szCs w:val="32"/>
        </w:rPr>
        <w:t>评</w:t>
      </w:r>
      <w:r w:rsidR="001A7D35" w:rsidRPr="000A22BC">
        <w:rPr>
          <w:rFonts w:ascii="仿宋_GB2312" w:eastAsia="仿宋_GB2312" w:hint="eastAsia"/>
          <w:sz w:val="32"/>
          <w:szCs w:val="32"/>
        </w:rPr>
        <w:t>委</w:t>
      </w:r>
      <w:r w:rsidR="001614FF" w:rsidRPr="000A22BC">
        <w:rPr>
          <w:rFonts w:ascii="仿宋_GB2312" w:eastAsia="仿宋_GB2312" w:hint="eastAsia"/>
          <w:sz w:val="32"/>
          <w:szCs w:val="32"/>
        </w:rPr>
        <w:t>根据各专业剖析自评报告、现场汇报、答辩</w:t>
      </w:r>
      <w:r w:rsidR="000C6507" w:rsidRPr="000A22BC">
        <w:rPr>
          <w:rFonts w:ascii="仿宋_GB2312" w:eastAsia="仿宋_GB2312" w:hint="eastAsia"/>
          <w:sz w:val="32"/>
          <w:szCs w:val="32"/>
        </w:rPr>
        <w:t>等情况</w:t>
      </w:r>
      <w:r w:rsidR="001614FF" w:rsidRPr="000A22BC">
        <w:rPr>
          <w:rFonts w:ascii="仿宋_GB2312" w:eastAsia="仿宋_GB2312" w:hint="eastAsia"/>
          <w:sz w:val="32"/>
          <w:szCs w:val="32"/>
        </w:rPr>
        <w:t>对各参赛对象进行</w:t>
      </w:r>
      <w:r w:rsidR="001A7D35" w:rsidRPr="000A22BC">
        <w:rPr>
          <w:rFonts w:ascii="仿宋_GB2312" w:eastAsia="仿宋_GB2312" w:hint="eastAsia"/>
          <w:sz w:val="32"/>
          <w:szCs w:val="32"/>
        </w:rPr>
        <w:t>评审</w:t>
      </w:r>
      <w:r w:rsidR="008435EB" w:rsidRPr="000A22BC">
        <w:rPr>
          <w:rFonts w:ascii="仿宋_GB2312" w:eastAsia="仿宋_GB2312" w:hint="eastAsia"/>
          <w:sz w:val="32"/>
          <w:szCs w:val="32"/>
        </w:rPr>
        <w:t>（详见附件）</w:t>
      </w:r>
      <w:r w:rsidR="00311016" w:rsidRPr="000A22BC">
        <w:rPr>
          <w:rFonts w:ascii="仿宋_GB2312" w:eastAsia="仿宋_GB2312" w:hint="eastAsia"/>
          <w:sz w:val="32"/>
          <w:szCs w:val="32"/>
        </w:rPr>
        <w:t>。</w:t>
      </w:r>
    </w:p>
    <w:p w:rsidR="002C79B9" w:rsidRPr="000A22BC" w:rsidRDefault="00311016" w:rsidP="00D31944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 w:hint="eastAsia"/>
          <w:sz w:val="32"/>
          <w:szCs w:val="32"/>
        </w:rPr>
        <w:lastRenderedPageBreak/>
        <w:t>学校将综合佐证材料验收和现场</w:t>
      </w:r>
      <w:r w:rsidR="00C81E3F" w:rsidRPr="000A22BC">
        <w:rPr>
          <w:rFonts w:ascii="仿宋_GB2312" w:eastAsia="仿宋_GB2312" w:hint="eastAsia"/>
          <w:sz w:val="32"/>
          <w:szCs w:val="32"/>
        </w:rPr>
        <w:t>汇报</w:t>
      </w:r>
      <w:r w:rsidRPr="000A22BC">
        <w:rPr>
          <w:rFonts w:ascii="仿宋_GB2312" w:eastAsia="仿宋_GB2312" w:hint="eastAsia"/>
          <w:sz w:val="32"/>
          <w:szCs w:val="32"/>
        </w:rPr>
        <w:t>两部分比赛的</w:t>
      </w:r>
      <w:r w:rsidR="00226D91" w:rsidRPr="000A22BC">
        <w:rPr>
          <w:rFonts w:ascii="仿宋_GB2312" w:eastAsia="仿宋_GB2312" w:hint="eastAsia"/>
          <w:sz w:val="32"/>
          <w:szCs w:val="32"/>
        </w:rPr>
        <w:t>得分情况</w:t>
      </w:r>
      <w:r w:rsidRPr="000A22BC">
        <w:rPr>
          <w:rFonts w:ascii="仿宋_GB2312" w:eastAsia="仿宋_GB2312" w:hint="eastAsia"/>
          <w:sz w:val="32"/>
          <w:szCs w:val="32"/>
        </w:rPr>
        <w:t>，最后评出一等奖1名，二等奖2名，三等奖2名</w:t>
      </w:r>
      <w:r w:rsidR="00D24092" w:rsidRPr="000A22BC">
        <w:rPr>
          <w:rFonts w:ascii="仿宋_GB2312" w:eastAsia="仿宋_GB2312" w:hint="eastAsia"/>
          <w:sz w:val="32"/>
          <w:szCs w:val="32"/>
        </w:rPr>
        <w:t>，优秀奖2名</w:t>
      </w:r>
      <w:r w:rsidRPr="000A22BC">
        <w:rPr>
          <w:rFonts w:ascii="仿宋_GB2312" w:eastAsia="仿宋_GB2312" w:hint="eastAsia"/>
          <w:sz w:val="32"/>
          <w:szCs w:val="32"/>
        </w:rPr>
        <w:t>。</w:t>
      </w:r>
    </w:p>
    <w:p w:rsidR="00191EE0" w:rsidRPr="000A22BC" w:rsidRDefault="00191EE0" w:rsidP="00D31944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1EE0" w:rsidRPr="000A22BC" w:rsidRDefault="00191EE0" w:rsidP="00F74A70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 w:rsidR="00580490" w:rsidRPr="000A22BC" w:rsidRDefault="00157F1F" w:rsidP="00D31944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 w:hint="eastAsia"/>
          <w:sz w:val="32"/>
          <w:szCs w:val="32"/>
        </w:rPr>
        <w:t>附：</w:t>
      </w:r>
      <w:r w:rsidR="0019195E" w:rsidRPr="000A22BC">
        <w:rPr>
          <w:rFonts w:ascii="仿宋_GB2312" w:eastAsia="仿宋_GB2312" w:hint="eastAsia"/>
          <w:sz w:val="32"/>
          <w:szCs w:val="32"/>
        </w:rPr>
        <w:t>广州华南商贸职业学院</w:t>
      </w:r>
      <w:r w:rsidRPr="000A22BC">
        <w:rPr>
          <w:rFonts w:ascii="仿宋_GB2312" w:eastAsia="仿宋_GB2312" w:hint="eastAsia"/>
          <w:sz w:val="32"/>
          <w:szCs w:val="32"/>
        </w:rPr>
        <w:t>专业剖析</w:t>
      </w:r>
      <w:r w:rsidR="00580490" w:rsidRPr="000A22BC">
        <w:rPr>
          <w:rFonts w:ascii="仿宋_GB2312" w:eastAsia="仿宋_GB2312" w:hint="eastAsia"/>
          <w:sz w:val="32"/>
          <w:szCs w:val="32"/>
        </w:rPr>
        <w:t>要点及评分标准</w:t>
      </w:r>
    </w:p>
    <w:p w:rsidR="002C2A00" w:rsidRPr="000A22BC" w:rsidRDefault="00580490" w:rsidP="00D31944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0A22BC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  <w:r w:rsidR="00E1137E" w:rsidRPr="000A22BC">
        <w:rPr>
          <w:rFonts w:ascii="微软雅黑" w:eastAsia="微软雅黑" w:hAnsi="微软雅黑" w:cs="宋体" w:hint="eastAsia"/>
          <w:kern w:val="0"/>
          <w:sz w:val="27"/>
          <w:szCs w:val="27"/>
        </w:rPr>
        <w:t xml:space="preserve">       </w:t>
      </w:r>
    </w:p>
    <w:p w:rsidR="002C2A00" w:rsidRPr="000A22BC" w:rsidRDefault="002C2A00" w:rsidP="00D31944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</w:p>
    <w:p w:rsidR="00832A4B" w:rsidRPr="000A22BC" w:rsidRDefault="00442894" w:rsidP="00D31944">
      <w:pPr>
        <w:widowControl/>
        <w:shd w:val="clear" w:color="auto" w:fill="FFFFFF"/>
        <w:spacing w:line="560" w:lineRule="exact"/>
        <w:ind w:right="640"/>
        <w:jc w:val="right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 w:hint="eastAsia"/>
          <w:sz w:val="32"/>
          <w:szCs w:val="32"/>
        </w:rPr>
        <w:t>教学科研部</w:t>
      </w:r>
    </w:p>
    <w:p w:rsidR="002C2A00" w:rsidRPr="000A22BC" w:rsidRDefault="00D31944" w:rsidP="00F74A70">
      <w:pPr>
        <w:widowControl/>
        <w:shd w:val="clear" w:color="auto" w:fill="FFFFFF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A22BC">
        <w:rPr>
          <w:rFonts w:ascii="仿宋_GB2312" w:eastAsia="仿宋_GB2312"/>
          <w:sz w:val="32"/>
          <w:szCs w:val="32"/>
        </w:rPr>
        <w:t xml:space="preserve"> </w:t>
      </w:r>
      <w:r w:rsidR="00442894" w:rsidRPr="000A22BC">
        <w:rPr>
          <w:rFonts w:ascii="仿宋_GB2312" w:eastAsia="仿宋_GB2312" w:hint="eastAsia"/>
          <w:sz w:val="32"/>
          <w:szCs w:val="32"/>
        </w:rPr>
        <w:t>2020年10月27日</w:t>
      </w:r>
    </w:p>
    <w:p w:rsidR="00423D9B" w:rsidRPr="000A22BC" w:rsidRDefault="00423D9B">
      <w:pPr>
        <w:widowControl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0A22BC">
        <w:rPr>
          <w:rFonts w:ascii="微软雅黑" w:eastAsia="微软雅黑" w:hAnsi="微软雅黑" w:cs="宋体"/>
          <w:kern w:val="0"/>
          <w:sz w:val="27"/>
          <w:szCs w:val="27"/>
        </w:rPr>
        <w:br w:type="page"/>
      </w:r>
    </w:p>
    <w:p w:rsidR="00430BB7" w:rsidRPr="000A22BC" w:rsidRDefault="00430BB7" w:rsidP="00430BB7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kern w:val="0"/>
          <w:szCs w:val="21"/>
        </w:rPr>
      </w:pPr>
      <w:r w:rsidRPr="000A22BC">
        <w:rPr>
          <w:rFonts w:ascii="微软雅黑" w:eastAsia="微软雅黑" w:hAnsi="微软雅黑" w:cs="宋体" w:hint="eastAsia"/>
          <w:kern w:val="0"/>
          <w:szCs w:val="21"/>
        </w:rPr>
        <w:lastRenderedPageBreak/>
        <w:t>附件</w:t>
      </w:r>
    </w:p>
    <w:p w:rsidR="00580490" w:rsidRPr="000A22BC" w:rsidRDefault="00361840" w:rsidP="00430BB7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0A22BC">
        <w:rPr>
          <w:rFonts w:ascii="微软雅黑" w:eastAsia="微软雅黑" w:hAnsi="微软雅黑" w:cs="宋体" w:hint="eastAsia"/>
          <w:kern w:val="0"/>
          <w:sz w:val="27"/>
          <w:szCs w:val="27"/>
        </w:rPr>
        <w:t>广州华南商贸职业学院专业剖析要点及评分标准</w:t>
      </w:r>
    </w:p>
    <w:tbl>
      <w:tblPr>
        <w:tblW w:w="10065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418"/>
        <w:gridCol w:w="5555"/>
        <w:gridCol w:w="992"/>
        <w:gridCol w:w="993"/>
      </w:tblGrid>
      <w:tr w:rsidR="000A22BC" w:rsidRPr="000A22BC" w:rsidTr="00D31944">
        <w:trPr>
          <w:trHeight w:val="438"/>
          <w:tblHeader/>
        </w:trPr>
        <w:tc>
          <w:tcPr>
            <w:tcW w:w="11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剖析</w:t>
            </w:r>
          </w:p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关键剖析</w:t>
            </w:r>
          </w:p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要素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要点说明</w:t>
            </w:r>
          </w:p>
        </w:tc>
        <w:tc>
          <w:tcPr>
            <w:tcW w:w="992" w:type="dxa"/>
            <w:vAlign w:val="center"/>
          </w:tcPr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993" w:type="dxa"/>
            <w:vAlign w:val="center"/>
          </w:tcPr>
          <w:p w:rsidR="002C2A00" w:rsidRPr="000A22BC" w:rsidRDefault="002C2A00" w:rsidP="00320F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22B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得分</w:t>
            </w:r>
          </w:p>
        </w:tc>
      </w:tr>
      <w:tr w:rsidR="000A22BC" w:rsidRPr="000A22BC" w:rsidTr="00AF71CD">
        <w:trPr>
          <w:trHeight w:val="844"/>
        </w:trPr>
        <w:tc>
          <w:tcPr>
            <w:tcW w:w="11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1.专业定位和人才培养模式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(10分)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1.1专业设置与定位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专业名称规范、科学；专业设置的针对性、灵活性、适应性；合作企业或社会用人单位参与专业建设。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70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1.2专业建设规划与实施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专业建设规划符合学校整体发展规划；</w:t>
            </w:r>
            <w:r w:rsidRPr="000A22BC">
              <w:rPr>
                <w:rFonts w:ascii="宋体" w:hAnsi="宋体" w:cs="宋体" w:hint="eastAsia"/>
                <w:spacing w:val="-4"/>
                <w:kern w:val="0"/>
                <w:szCs w:val="21"/>
              </w:rPr>
              <w:t>专业建设实施方案具体，措施得力；能辐射带动相关专业发展。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919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1.3人才培养模式改革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人才培养目标明确，知识、能力、素质结构合理；把工学结合作为改革的切入点，充分体现实践性、开放性和职业性的要求。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936"/>
        </w:trPr>
        <w:tc>
          <w:tcPr>
            <w:tcW w:w="11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2．教学基本条件</w:t>
            </w:r>
          </w:p>
          <w:p w:rsidR="008134DC" w:rsidRPr="000A22BC" w:rsidRDefault="008134DC" w:rsidP="00FB66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FB6693" w:rsidRPr="000A22BC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A22B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2.1教学团队结构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有较高水平的专业带头人、专业骨干教师；专任教师队伍数量足够、结构合理；聘请了行业企业的技术专家和能工巧匠担任兼职教师。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919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2.2教学团队素质与水平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76490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专任教师技能水平较</w:t>
            </w:r>
            <w:r w:rsidR="008134DC" w:rsidRPr="000A22BC">
              <w:rPr>
                <w:rFonts w:ascii="宋体" w:hAnsi="宋体" w:cs="宋体" w:hint="eastAsia"/>
                <w:kern w:val="0"/>
                <w:szCs w:val="21"/>
              </w:rPr>
              <w:t>高及具有企业生产一线工作经历；专职实</w:t>
            </w:r>
            <w:proofErr w:type="gramStart"/>
            <w:r w:rsidR="008134DC" w:rsidRPr="000A22BC">
              <w:rPr>
                <w:rFonts w:ascii="宋体" w:hAnsi="宋体" w:cs="宋体" w:hint="eastAsia"/>
                <w:kern w:val="0"/>
                <w:szCs w:val="21"/>
              </w:rPr>
              <w:t>训指导</w:t>
            </w:r>
            <w:proofErr w:type="gramEnd"/>
            <w:r w:rsidR="008134DC" w:rsidRPr="000A22BC">
              <w:rPr>
                <w:rFonts w:ascii="宋体" w:hAnsi="宋体" w:cs="宋体" w:hint="eastAsia"/>
                <w:kern w:val="0"/>
                <w:szCs w:val="21"/>
              </w:rPr>
              <w:t>教师具有职业资格证书和企业工作经历。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620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2.3教学团队建设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“双师”结构的专业教学团队建设规划；提高专任教师的综合职业素养与实践教学能力的政策、措施；兼职教师队伍建设的规划和措施。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52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2.4实践教学条件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校内实训基地能够满足教学需要，管理制度完善、经费有保障、运行正常；有稳定的校外实习基地，能满足学生专业实训和半年顶岗实习的需要。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FB6693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594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2.5经费投入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日常教学经费能保证正常教学；每年投入足够的专业建设专项经费，满足专业建设的需要。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1035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2.6教材与图书资料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选用优秀新版教材</w:t>
            </w:r>
            <w:bookmarkStart w:id="0" w:name="_GoBack"/>
            <w:bookmarkEnd w:id="0"/>
            <w:r w:rsidRPr="000A22BC">
              <w:rPr>
                <w:rFonts w:ascii="宋体" w:hAnsi="宋体" w:cs="宋体" w:hint="eastAsia"/>
                <w:kern w:val="0"/>
                <w:szCs w:val="21"/>
              </w:rPr>
              <w:t>；与行业企业共同开发实训教材和体现“工学结合”的校本教材；专业图书资料充足，建设和利用优质教学资源和网络信息资源。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936"/>
        </w:trPr>
        <w:tc>
          <w:tcPr>
            <w:tcW w:w="11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3．教学改革与教学管理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（35分）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3.1课程体系与教学内容改革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依据技术领域和职业岗位群的任职要求，参照相关的职业资格标准，设置课程体系和选择教学内容；重视优质核心课程建设；将职业资格证书纳入专业人才培养方案。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8134D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1076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3.2教学方法与手段改革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能有效设计“教、学、做”为一体的情境教学方法；教学手段灵活多样，能充分利用现代信息技术，重视优质教学资源和网络信息资源的利用与共享；考核方式灵活、恰当。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668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3.3实践教学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实践教学体系科学可行，满足学生职业能力培养的要求；确保学生有半年以上顶岗实习并强化过程管理；实践教学环节落实到位，制度措施得力。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76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3.4教研教改成果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教研教改有规划、有落实；各级教研教改课题及成果；精品课程建设及成果；科研项目及成果。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604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3.5产学研结合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形成校企合作、工学结合的长效机制；重视教师科技开发和服务能力的培养；技术研究、开发、推广及为社会技能培训、服务等开展良好，效益明显；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68"/>
        </w:trPr>
        <w:tc>
          <w:tcPr>
            <w:tcW w:w="1107" w:type="dxa"/>
            <w:vMerge/>
            <w:shd w:val="clear" w:color="auto" w:fill="FFFFFF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3.6教学管理与质量监控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教学管理制度完备、机构健全、队伍结构合理、教学基本文件齐备、教学档案规范；教学质量保障体系健全，运行有序。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70"/>
        </w:trPr>
        <w:tc>
          <w:tcPr>
            <w:tcW w:w="11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4．人才培养质量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 （15分）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4.1基础理论与专业技能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学生的基础理论与专业技能达到专业培养目标的要求；学生积极参加各种文体活动，身体素质达标，心理健康。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766"/>
        </w:trPr>
        <w:tc>
          <w:tcPr>
            <w:tcW w:w="1107" w:type="dxa"/>
            <w:vMerge/>
            <w:shd w:val="clear" w:color="auto" w:fill="auto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4.2职业能力与职业素质培养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学生具有良好的伦理道德、社会公德和职业道德修养，遵纪守法，诚实守信；“双证书”获取率高；在省级以上各类职业能力竞赛中获得较好的成绩。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527"/>
        </w:trPr>
        <w:tc>
          <w:tcPr>
            <w:tcW w:w="1107" w:type="dxa"/>
            <w:vMerge/>
            <w:shd w:val="clear" w:color="auto" w:fill="auto"/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4.3学生满意度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随机调查本专业学生，对教学的满意程度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527"/>
        </w:trPr>
        <w:tc>
          <w:tcPr>
            <w:tcW w:w="1107" w:type="dxa"/>
            <w:vMerge/>
            <w:shd w:val="clear" w:color="auto" w:fill="auto"/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4A21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4.4毕业生就业与社会声誉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4A21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近两年录取新生报到率；近两年毕业生年底就业率；近两年用人单位对毕业生综合评价的称职和优良率；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527"/>
        </w:trPr>
        <w:tc>
          <w:tcPr>
            <w:tcW w:w="1107" w:type="dxa"/>
            <w:vMerge w:val="restart"/>
            <w:shd w:val="clear" w:color="auto" w:fill="auto"/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5．专业特色或创新</w:t>
            </w:r>
          </w:p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5.1重点建设专业的优势和特色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从人才培养质量、课程体系与教学内容、实践教学、教学改革与教学管理、师资队伍等方面取得突破和创新的标志性成果的相关材料</w:t>
            </w:r>
          </w:p>
        </w:tc>
        <w:tc>
          <w:tcPr>
            <w:tcW w:w="992" w:type="dxa"/>
            <w:vMerge w:val="restart"/>
            <w:vAlign w:val="center"/>
          </w:tcPr>
          <w:p w:rsidR="008134DC" w:rsidRPr="000A22BC" w:rsidRDefault="008134DC" w:rsidP="00AF71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AF71CD">
        <w:trPr>
          <w:trHeight w:val="527"/>
        </w:trPr>
        <w:tc>
          <w:tcPr>
            <w:tcW w:w="1107" w:type="dxa"/>
            <w:vMerge/>
            <w:shd w:val="clear" w:color="auto" w:fill="auto"/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5.2专业人才培养模式、校企合作、工学结合的成果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DC" w:rsidRPr="000A22BC" w:rsidRDefault="008134DC" w:rsidP="005804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从人才培养模式、校企合作、社会服务等方面进行突破和创新，取得标志性成果的相关材料。同类学校和行业企业对创新项目成果认同的材料或其他佐证材料。</w:t>
            </w:r>
          </w:p>
        </w:tc>
        <w:tc>
          <w:tcPr>
            <w:tcW w:w="992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134DC" w:rsidRPr="000A22BC" w:rsidRDefault="008134DC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22BC" w:rsidRPr="000A22BC" w:rsidTr="00191EE0">
        <w:trPr>
          <w:trHeight w:val="828"/>
        </w:trPr>
        <w:tc>
          <w:tcPr>
            <w:tcW w:w="2525" w:type="dxa"/>
            <w:gridSpan w:val="2"/>
            <w:shd w:val="clear" w:color="auto" w:fill="auto"/>
            <w:vAlign w:val="center"/>
          </w:tcPr>
          <w:p w:rsidR="0023416A" w:rsidRPr="000A22BC" w:rsidRDefault="0023416A" w:rsidP="00FB66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现场表现</w:t>
            </w:r>
            <w:r w:rsidR="00956FAD" w:rsidRPr="000A22BC">
              <w:rPr>
                <w:rFonts w:ascii="宋体" w:hAnsi="宋体" w:cs="宋体" w:hint="eastAsia"/>
                <w:kern w:val="0"/>
                <w:szCs w:val="21"/>
              </w:rPr>
              <w:t>（1</w:t>
            </w:r>
            <w:r w:rsidR="00FB6693" w:rsidRPr="000A22B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56FAD" w:rsidRPr="000A22B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16A" w:rsidRPr="000A22BC" w:rsidRDefault="0023416A" w:rsidP="002341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态度认真、仪表端庄、语言规范、亲和力强；回答问题聚焦主题、科学准确、思路清晰、逻辑严谨、表达流畅。</w:t>
            </w:r>
          </w:p>
        </w:tc>
        <w:tc>
          <w:tcPr>
            <w:tcW w:w="992" w:type="dxa"/>
            <w:vAlign w:val="center"/>
          </w:tcPr>
          <w:p w:rsidR="0023416A" w:rsidRPr="000A22BC" w:rsidRDefault="00DB3C3D" w:rsidP="00FB66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22B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B6693" w:rsidRPr="000A22B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23416A" w:rsidRPr="000A22BC" w:rsidRDefault="0023416A" w:rsidP="00AF7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80490" w:rsidRPr="000A22BC" w:rsidRDefault="00580490" w:rsidP="00311016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80490" w:rsidRPr="000A22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EA" w:rsidRDefault="000A55EA" w:rsidP="002143F1">
      <w:r>
        <w:separator/>
      </w:r>
    </w:p>
  </w:endnote>
  <w:endnote w:type="continuationSeparator" w:id="0">
    <w:p w:rsidR="000A55EA" w:rsidRDefault="000A55EA" w:rsidP="0021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EA" w:rsidRDefault="000A55EA" w:rsidP="002143F1">
      <w:r>
        <w:separator/>
      </w:r>
    </w:p>
  </w:footnote>
  <w:footnote w:type="continuationSeparator" w:id="0">
    <w:p w:rsidR="000A55EA" w:rsidRDefault="000A55EA" w:rsidP="0021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05" w:rsidRPr="00E71605" w:rsidRDefault="003F3A59">
    <w:pPr>
      <w:pStyle w:val="a4"/>
    </w:pPr>
    <w:r w:rsidRPr="00E71605">
      <w:rPr>
        <w:noProof/>
      </w:rPr>
      <w:drawing>
        <wp:inline distT="0" distB="0" distL="0" distR="0">
          <wp:extent cx="1628775" cy="457200"/>
          <wp:effectExtent l="0" t="0" r="0" b="0"/>
          <wp:docPr id="2" name="图片 1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605" w:rsidRPr="00E71605">
      <w:rPr>
        <w:rFonts w:hint="eastAsia"/>
      </w:rPr>
      <w:t xml:space="preserve">   </w:t>
    </w:r>
    <w:r w:rsidR="00E71605" w:rsidRPr="00E71605">
      <w:tab/>
    </w:r>
    <w:r w:rsidR="00E71605" w:rsidRPr="00E71605">
      <w:rPr>
        <w:rFonts w:hint="eastAsia"/>
      </w:rPr>
      <w:t xml:space="preserve">                </w:t>
    </w:r>
    <w:r w:rsidR="00E71605" w:rsidRPr="00E71605">
      <w:rPr>
        <w:rFonts w:hint="eastAsia"/>
        <w:b/>
      </w:rPr>
      <w:t>20</w:t>
    </w:r>
    <w:r w:rsidR="00E71605" w:rsidRPr="00E71605">
      <w:rPr>
        <w:b/>
      </w:rPr>
      <w:t>20</w:t>
    </w:r>
    <w:r w:rsidR="00E71605" w:rsidRPr="00E71605">
      <w:rPr>
        <w:rFonts w:hint="eastAsia"/>
        <w:b/>
      </w:rPr>
      <w:t>-20</w:t>
    </w:r>
    <w:r w:rsidR="00E71605" w:rsidRPr="00E71605">
      <w:rPr>
        <w:b/>
      </w:rPr>
      <w:t>21</w:t>
    </w:r>
    <w:r w:rsidR="00E71605" w:rsidRPr="00E71605">
      <w:rPr>
        <w:rFonts w:hint="eastAsia"/>
        <w:b/>
      </w:rPr>
      <w:t>学年第一学期教学科研部</w:t>
    </w:r>
    <w:r w:rsidR="00E71605" w:rsidRPr="00E71605">
      <w:rPr>
        <w:rFonts w:hint="eastAsia"/>
        <w:b/>
      </w:rPr>
      <w:t>0</w:t>
    </w:r>
    <w:r w:rsidR="00E71605" w:rsidRPr="00E71605">
      <w:rPr>
        <w:b/>
      </w:rPr>
      <w:t>1</w:t>
    </w:r>
    <w:r w:rsidR="00E71605">
      <w:rPr>
        <w:b/>
      </w:rPr>
      <w:t>4</w:t>
    </w:r>
    <w:r w:rsidR="00E71605" w:rsidRPr="00E71605">
      <w:rPr>
        <w:rFonts w:hint="eastAsia"/>
        <w:b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3A"/>
    <w:rsid w:val="000025FD"/>
    <w:rsid w:val="00032EBB"/>
    <w:rsid w:val="00041E92"/>
    <w:rsid w:val="000861BD"/>
    <w:rsid w:val="000A22BC"/>
    <w:rsid w:val="000A55EA"/>
    <w:rsid w:val="000C6507"/>
    <w:rsid w:val="000C7206"/>
    <w:rsid w:val="00115429"/>
    <w:rsid w:val="00133D9E"/>
    <w:rsid w:val="00140E9D"/>
    <w:rsid w:val="00150025"/>
    <w:rsid w:val="00150883"/>
    <w:rsid w:val="00157F1F"/>
    <w:rsid w:val="001614FF"/>
    <w:rsid w:val="00182D73"/>
    <w:rsid w:val="0019195E"/>
    <w:rsid w:val="00191EE0"/>
    <w:rsid w:val="001A7D35"/>
    <w:rsid w:val="001B284B"/>
    <w:rsid w:val="001B7460"/>
    <w:rsid w:val="001C3A03"/>
    <w:rsid w:val="001D27FF"/>
    <w:rsid w:val="001D7C1B"/>
    <w:rsid w:val="001E0E60"/>
    <w:rsid w:val="002143F1"/>
    <w:rsid w:val="0022423A"/>
    <w:rsid w:val="00226BAE"/>
    <w:rsid w:val="00226D91"/>
    <w:rsid w:val="0023416A"/>
    <w:rsid w:val="00240068"/>
    <w:rsid w:val="0024117A"/>
    <w:rsid w:val="00265D79"/>
    <w:rsid w:val="00271FA1"/>
    <w:rsid w:val="00291C02"/>
    <w:rsid w:val="00297C7A"/>
    <w:rsid w:val="002A144D"/>
    <w:rsid w:val="002B63B0"/>
    <w:rsid w:val="002C2A00"/>
    <w:rsid w:val="002C79B9"/>
    <w:rsid w:val="002D450D"/>
    <w:rsid w:val="002F0233"/>
    <w:rsid w:val="00311016"/>
    <w:rsid w:val="00320FE0"/>
    <w:rsid w:val="003477D4"/>
    <w:rsid w:val="00361840"/>
    <w:rsid w:val="0037206C"/>
    <w:rsid w:val="003A5AB1"/>
    <w:rsid w:val="003E619B"/>
    <w:rsid w:val="003F3A59"/>
    <w:rsid w:val="00422120"/>
    <w:rsid w:val="00423D9B"/>
    <w:rsid w:val="00430BB7"/>
    <w:rsid w:val="00442894"/>
    <w:rsid w:val="004C6B56"/>
    <w:rsid w:val="00524E04"/>
    <w:rsid w:val="005328E0"/>
    <w:rsid w:val="00532ACC"/>
    <w:rsid w:val="00541752"/>
    <w:rsid w:val="0055613D"/>
    <w:rsid w:val="00560E91"/>
    <w:rsid w:val="00576094"/>
    <w:rsid w:val="00580490"/>
    <w:rsid w:val="00594131"/>
    <w:rsid w:val="005C2337"/>
    <w:rsid w:val="005C6A50"/>
    <w:rsid w:val="005F4A1D"/>
    <w:rsid w:val="0063015A"/>
    <w:rsid w:val="006752D2"/>
    <w:rsid w:val="007045CE"/>
    <w:rsid w:val="007173DC"/>
    <w:rsid w:val="00721ED8"/>
    <w:rsid w:val="0076634C"/>
    <w:rsid w:val="00775EEC"/>
    <w:rsid w:val="008134DC"/>
    <w:rsid w:val="00832A4B"/>
    <w:rsid w:val="00833FC6"/>
    <w:rsid w:val="008435EB"/>
    <w:rsid w:val="008449B1"/>
    <w:rsid w:val="008676F3"/>
    <w:rsid w:val="00874344"/>
    <w:rsid w:val="0087550D"/>
    <w:rsid w:val="00876490"/>
    <w:rsid w:val="008C0314"/>
    <w:rsid w:val="008D6591"/>
    <w:rsid w:val="008E122B"/>
    <w:rsid w:val="008E7146"/>
    <w:rsid w:val="00907C51"/>
    <w:rsid w:val="00915AB8"/>
    <w:rsid w:val="00956FAD"/>
    <w:rsid w:val="00976B34"/>
    <w:rsid w:val="009C0D2A"/>
    <w:rsid w:val="009E7CF3"/>
    <w:rsid w:val="00A03389"/>
    <w:rsid w:val="00A16621"/>
    <w:rsid w:val="00A911A7"/>
    <w:rsid w:val="00AA5616"/>
    <w:rsid w:val="00AE4DAB"/>
    <w:rsid w:val="00AF1796"/>
    <w:rsid w:val="00AF71CD"/>
    <w:rsid w:val="00B1200A"/>
    <w:rsid w:val="00B14ADD"/>
    <w:rsid w:val="00B71800"/>
    <w:rsid w:val="00BE60B6"/>
    <w:rsid w:val="00C11650"/>
    <w:rsid w:val="00C21226"/>
    <w:rsid w:val="00C233CF"/>
    <w:rsid w:val="00C52BCC"/>
    <w:rsid w:val="00C61093"/>
    <w:rsid w:val="00C758DB"/>
    <w:rsid w:val="00C81E3F"/>
    <w:rsid w:val="00CB2971"/>
    <w:rsid w:val="00CC1487"/>
    <w:rsid w:val="00CE6664"/>
    <w:rsid w:val="00D00B24"/>
    <w:rsid w:val="00D24092"/>
    <w:rsid w:val="00D31944"/>
    <w:rsid w:val="00D326D9"/>
    <w:rsid w:val="00D34AA4"/>
    <w:rsid w:val="00D34B52"/>
    <w:rsid w:val="00D74D9F"/>
    <w:rsid w:val="00D84CB4"/>
    <w:rsid w:val="00DB3C3D"/>
    <w:rsid w:val="00DC6ED8"/>
    <w:rsid w:val="00DF632E"/>
    <w:rsid w:val="00E1137E"/>
    <w:rsid w:val="00E12806"/>
    <w:rsid w:val="00E6414D"/>
    <w:rsid w:val="00E67849"/>
    <w:rsid w:val="00E71605"/>
    <w:rsid w:val="00E74BCF"/>
    <w:rsid w:val="00E96C62"/>
    <w:rsid w:val="00EB2762"/>
    <w:rsid w:val="00EF09F4"/>
    <w:rsid w:val="00F31EC2"/>
    <w:rsid w:val="00F617A1"/>
    <w:rsid w:val="00F74A70"/>
    <w:rsid w:val="00F75011"/>
    <w:rsid w:val="00FB47F6"/>
    <w:rsid w:val="00F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8D22D33-C391-477E-BEE7-6620C201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413</Words>
  <Characters>2357</Characters>
  <Application>Microsoft Office Word</Application>
  <DocSecurity>0</DocSecurity>
  <Lines>19</Lines>
  <Paragraphs>5</Paragraphs>
  <ScaleCrop>false</ScaleCrop>
  <Company>HP Inc.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关于举办2020年专业剖析</dc:title>
  <dc:creator>Asd</dc:creator>
  <cp:lastModifiedBy>hm</cp:lastModifiedBy>
  <cp:revision>13</cp:revision>
  <dcterms:created xsi:type="dcterms:W3CDTF">2020-10-28T03:15:00Z</dcterms:created>
  <dcterms:modified xsi:type="dcterms:W3CDTF">2020-10-30T06:43:00Z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</Properties>
</file>